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Heap Data Structures Implementation Analysis and Applications</w:t>
      </w:r>
    </w:p>
    <w:p>
      <w:pPr>
        <w:spacing w:after="260"/>
        <w:jc w:val="center"/>
      </w:pPr>
      <w:r>
        <w:t>Haris Asir Hasan</w:t>
        <w:br/>
        <w:t>MSCS 532 Algorithms and Data Structures</w:t>
        <w:br/>
        <w:t>Dr Michael Solomon</w:t>
        <w:br/>
        <w:t>October 2026</w:t>
      </w:r>
    </w:p>
    <w:p>
      <w:pPr>
        <w:pStyle w:val="Heading1"/>
        <w:keepNext/>
      </w:pPr>
      <w:r>
        <w:t>Purpose and result</w:t>
      </w:r>
    </w:p>
    <w:p>
      <w:pPr>
        <w:spacing w:after="140" w:line="259" w:lineRule="auto"/>
      </w:pPr>
      <w:r>
        <w:t>This report explains my Python implementation of Heapsort and a max-heap priority queue. The sorting program produces correct ascending output in place. The priority queue supports task insertion, maximum extraction, priority increase, and empty checking. A deterministic scheduler simulation uses the queue to choose the highest-priority task that has arrived. Seven automated tests passed, including randomized sorting cases and priority-queue edge cases.</w:t>
      </w:r>
    </w:p>
    <w:p>
      <w:pPr>
        <w:pStyle w:val="Heading1"/>
        <w:keepNext/>
      </w:pPr>
      <w:r>
        <w:t>Heapsort design</w:t>
      </w:r>
    </w:p>
    <w:p>
      <w:pPr>
        <w:spacing w:after="140" w:line="259" w:lineRule="auto"/>
      </w:pPr>
      <w:r>
        <w:t>The implementation stores the heap directly in the input list. For an element at index i, its children are at 2i + 1 and 2i + 2. The build_max_heap function starts at the final internal node and sifts each parent downward. This bottom-up pass creates a max-heap, so the largest value is at index zero. Heapsort swaps that root with the last value in the active heap, reduces the active range by one, and restores the heap property. Repeating that step places the largest remaining value in its final position each time (Cormen et al., 2022).</w:t>
      </w:r>
    </w:p>
    <w:p>
      <w:pPr>
        <w:spacing w:after="140" w:line="259" w:lineRule="auto"/>
      </w:pPr>
      <w:r>
        <w:t>The sift-down routine is iterative. At each level, it compares both children, chooses the larger child, and swaps only when the parent is smaller. The comments in heapsort.py identify the invariant being restored, explain why the larger child is chosen, and show why the sorted suffix is excluded from later repairs. These explanations connect each mutation to the max-heap property.</w:t>
      </w:r>
    </w:p>
    <w:p>
      <w:pPr>
        <w:pStyle w:val="Heading1"/>
        <w:keepNext/>
      </w:pPr>
      <w:r>
        <w:t>Heapsort complexity</w:t>
      </w:r>
    </w:p>
    <w:p>
      <w:pPr>
        <w:spacing w:after="140" w:line="259" w:lineRule="auto"/>
      </w:pPr>
      <w:r>
        <w:t>A sift-down operation follows at most one root-to-leaf path. Its recurrence is T(h) = T(h - 1) + O(1), which solves to O(h). Because heap height is O(log n), one sift-down costs O(log n). Bottom-up heap construction is tighter than multiplying this bound by n. At most n divided by 2 to the power h + 1 nodes have height h, so the total work is bounded by n times the convergent sum of h divided by 2 to the power h. Therefore, build_max_heap runs in O(n) time.</w:t>
      </w:r>
    </w:p>
    <w:p>
      <w:pPr>
        <w:spacing w:after="140" w:line="259" w:lineRule="auto"/>
      </w:pPr>
      <w:r>
        <w:t>The extraction loop runs n - 1 times. Each iteration performs one constant-time swap and then repairs a heap whose height is O(log n). The resulting running time is O(n log n) in the best, average, and worst cases. Input order changes individual comparisons but does not remove the repeated extraction structure. The algorithm uses O(1) auxiliary array space because it stores the heap in the input list and uses an iterative repair routine. Python function frames and local variables add only constant overhead for this implementation.</w:t>
      </w:r>
    </w:p>
    <w:p>
      <w:pPr>
        <w:pStyle w:val="Heading1"/>
        <w:keepNext/>
      </w:pPr>
      <w:r>
        <w:t>Empirical method</w:t>
      </w:r>
    </w:p>
    <w:p>
      <w:pPr>
        <w:spacing w:after="140" w:line="259" w:lineRule="auto"/>
      </w:pPr>
      <w:r>
        <w:t>I compared Heapsort with a median-of-three, three-way Quicksort and a bottom-up Merge Sort. The benchmark used Python 3.11.16 on an Apple M2 Pro with 32 GB of memory. It measured input sizes 1,000, 5,000, 10,000, and 20,000 for sorted, reverse-sorted, and seeded random lists. Each case ran seven times. The reported value is the median elapsed time from time.perf_counter_ns. Every run was compared with Python's correct sorted result before its time was accepted.</w:t>
      </w:r>
    </w:p>
    <w:p>
      <w:pPr>
        <w:spacing w:after="140" w:line="259" w:lineRule="auto"/>
      </w:pPr>
      <w:r>
        <w:t>The algorithms receive separate copies of the same baseline list. Copy time is outside the measured interval. The base random seed is 532, and each random case uses that seed plus its input size. This makes the inputs reproducible. These choices control obvious sources of variation, but the measurements still describe one Python implementation on one computer rather than every possible implementation.</w:t>
      </w:r>
    </w:p>
    <w:p>
      <w:pPr>
        <w:pStyle w:val="Heading1"/>
        <w:keepNext/>
      </w:pPr>
      <w:r>
        <w:t>Empirical results</w:t>
      </w:r>
    </w:p>
    <w:p>
      <w:pPr>
        <w:pStyle w:val="Heading2"/>
        <w:keepNext/>
      </w:pPr>
      <w:r>
        <w:t>Sorted input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tblHeader/>
        </w:trPr>
        <w:tc>
          <w:tcPr>
            <w:tcW w:type="dxa" w:w="1800"/>
            <w:vAlign w:val="center"/>
            <w:tcMar>
              <w:top w:w="90" w:type="dxa"/>
              <w:start w:w="100" w:type="dxa"/>
              <w:bottom w:w="90" w:type="dxa"/>
              <w:end w:w="100" w:type="dxa"/>
            </w:tcMar>
            <w:shd w:fill="404040"/>
          </w:tcPr>
          <w:p>
            <w:pPr>
              <w:jc w:val="center"/>
            </w:pPr>
            <w:r>
              <w:rPr>
                <w:b/>
                <w:color w:val="FFFFFF"/>
                <w:sz w:val="18"/>
              </w:rPr>
              <w:t>Input size</w:t>
            </w:r>
          </w:p>
        </w:tc>
        <w:tc>
          <w:tcPr>
            <w:tcW w:type="dxa" w:w="2232"/>
            <w:vAlign w:val="center"/>
            <w:tcMar>
              <w:top w:w="90" w:type="dxa"/>
              <w:start w:w="100" w:type="dxa"/>
              <w:bottom w:w="90" w:type="dxa"/>
              <w:end w:w="100" w:type="dxa"/>
            </w:tcMar>
            <w:shd w:fill="404040"/>
          </w:tcPr>
          <w:p>
            <w:pPr>
              <w:jc w:val="center"/>
            </w:pPr>
            <w:r>
              <w:rPr>
                <w:b/>
                <w:color w:val="FFFFFF"/>
                <w:sz w:val="18"/>
              </w:rPr>
              <w:t>Heapsort ms</w:t>
            </w:r>
          </w:p>
        </w:tc>
        <w:tc>
          <w:tcPr>
            <w:tcW w:type="dxa" w:w="2376"/>
            <w:vAlign w:val="center"/>
            <w:tcMar>
              <w:top w:w="90" w:type="dxa"/>
              <w:start w:w="100" w:type="dxa"/>
              <w:bottom w:w="90" w:type="dxa"/>
              <w:end w:w="100" w:type="dxa"/>
            </w:tcMar>
            <w:shd w:fill="404040"/>
          </w:tcPr>
          <w:p>
            <w:pPr>
              <w:jc w:val="center"/>
            </w:pPr>
            <w:r>
              <w:rPr>
                <w:b/>
                <w:color w:val="FFFFFF"/>
                <w:sz w:val="18"/>
              </w:rPr>
              <w:t>Quicksort ms</w:t>
            </w:r>
          </w:p>
        </w:tc>
        <w:tc>
          <w:tcPr>
            <w:tcW w:type="dxa" w:w="2376"/>
            <w:vAlign w:val="center"/>
            <w:tcMar>
              <w:top w:w="90" w:type="dxa"/>
              <w:start w:w="100" w:type="dxa"/>
              <w:bottom w:w="90" w:type="dxa"/>
              <w:end w:w="100" w:type="dxa"/>
            </w:tcMar>
            <w:shd w:fill="404040"/>
          </w:tcPr>
          <w:p>
            <w:pPr>
              <w:jc w:val="center"/>
            </w:pPr>
            <w:r>
              <w:rPr>
                <w:b/>
                <w:color w:val="FFFFFF"/>
                <w:sz w:val="18"/>
              </w:rPr>
              <w:t>Merge Sort ms</w:t>
            </w:r>
          </w:p>
        </w:tc>
      </w:tr>
      <w:tr>
        <w:tc>
          <w:tcPr>
            <w:tcW w:type="dxa" w:w="1800"/>
            <w:vAlign w:val="center"/>
            <w:tcMar>
              <w:top w:w="90" w:type="dxa"/>
              <w:start w:w="100" w:type="dxa"/>
              <w:bottom w:w="90" w:type="dxa"/>
              <w:end w:w="100" w:type="dxa"/>
            </w:tcMar>
          </w:tcPr>
          <w:p>
            <w:pPr>
              <w:jc w:val="left"/>
            </w:pPr>
            <w:r>
              <w:rPr>
                <w:sz w:val="18"/>
              </w:rPr>
              <w:t>1,000</w:t>
            </w:r>
          </w:p>
        </w:tc>
        <w:tc>
          <w:tcPr>
            <w:tcW w:type="dxa" w:w="2232"/>
            <w:vAlign w:val="center"/>
            <w:tcMar>
              <w:top w:w="90" w:type="dxa"/>
              <w:start w:w="100" w:type="dxa"/>
              <w:bottom w:w="90" w:type="dxa"/>
              <w:end w:w="100" w:type="dxa"/>
            </w:tcMar>
          </w:tcPr>
          <w:p>
            <w:pPr>
              <w:jc w:val="center"/>
            </w:pPr>
            <w:r>
              <w:rPr>
                <w:sz w:val="18"/>
              </w:rPr>
              <w:t>0.828</w:t>
            </w:r>
          </w:p>
        </w:tc>
        <w:tc>
          <w:tcPr>
            <w:tcW w:type="dxa" w:w="2376"/>
            <w:vAlign w:val="center"/>
            <w:tcMar>
              <w:top w:w="90" w:type="dxa"/>
              <w:start w:w="100" w:type="dxa"/>
              <w:bottom w:w="90" w:type="dxa"/>
              <w:end w:w="100" w:type="dxa"/>
            </w:tcMar>
          </w:tcPr>
          <w:p>
            <w:pPr>
              <w:jc w:val="center"/>
            </w:pPr>
            <w:r>
              <w:rPr>
                <w:sz w:val="18"/>
              </w:rPr>
              <w:t>1.773</w:t>
            </w:r>
          </w:p>
        </w:tc>
        <w:tc>
          <w:tcPr>
            <w:tcW w:type="dxa" w:w="2376"/>
            <w:vAlign w:val="center"/>
            <w:tcMar>
              <w:top w:w="90" w:type="dxa"/>
              <w:start w:w="100" w:type="dxa"/>
              <w:bottom w:w="90" w:type="dxa"/>
              <w:end w:w="100" w:type="dxa"/>
            </w:tcMar>
          </w:tcPr>
          <w:p>
            <w:pPr>
              <w:jc w:val="center"/>
            </w:pPr>
            <w:r>
              <w:rPr>
                <w:sz w:val="18"/>
              </w:rPr>
              <w:t>0.528</w:t>
            </w:r>
          </w:p>
        </w:tc>
      </w:tr>
      <w:tr>
        <w:tc>
          <w:tcPr>
            <w:tcW w:type="dxa" w:w="1800"/>
            <w:vAlign w:val="center"/>
            <w:tcMar>
              <w:top w:w="90" w:type="dxa"/>
              <w:start w:w="100" w:type="dxa"/>
              <w:bottom w:w="90" w:type="dxa"/>
              <w:end w:w="100" w:type="dxa"/>
            </w:tcMar>
            <w:shd w:fill="F2F2F2"/>
          </w:tcPr>
          <w:p>
            <w:pPr>
              <w:jc w:val="left"/>
            </w:pPr>
            <w:r>
              <w:rPr>
                <w:sz w:val="18"/>
              </w:rPr>
              <w:t>5,000</w:t>
            </w:r>
          </w:p>
        </w:tc>
        <w:tc>
          <w:tcPr>
            <w:tcW w:type="dxa" w:w="2232"/>
            <w:vAlign w:val="center"/>
            <w:tcMar>
              <w:top w:w="90" w:type="dxa"/>
              <w:start w:w="100" w:type="dxa"/>
              <w:bottom w:w="90" w:type="dxa"/>
              <w:end w:w="100" w:type="dxa"/>
            </w:tcMar>
            <w:shd w:fill="F2F2F2"/>
          </w:tcPr>
          <w:p>
            <w:pPr>
              <w:jc w:val="center"/>
            </w:pPr>
            <w:r>
              <w:rPr>
                <w:sz w:val="18"/>
              </w:rPr>
              <w:t>4.987</w:t>
            </w:r>
          </w:p>
        </w:tc>
        <w:tc>
          <w:tcPr>
            <w:tcW w:type="dxa" w:w="2376"/>
            <w:vAlign w:val="center"/>
            <w:tcMar>
              <w:top w:w="90" w:type="dxa"/>
              <w:start w:w="100" w:type="dxa"/>
              <w:bottom w:w="90" w:type="dxa"/>
              <w:end w:w="100" w:type="dxa"/>
            </w:tcMar>
            <w:shd w:fill="F2F2F2"/>
          </w:tcPr>
          <w:p>
            <w:pPr>
              <w:jc w:val="center"/>
            </w:pPr>
            <w:r>
              <w:rPr>
                <w:sz w:val="18"/>
              </w:rPr>
              <w:t>9.908</w:t>
            </w:r>
          </w:p>
        </w:tc>
        <w:tc>
          <w:tcPr>
            <w:tcW w:type="dxa" w:w="2376"/>
            <w:vAlign w:val="center"/>
            <w:tcMar>
              <w:top w:w="90" w:type="dxa"/>
              <w:start w:w="100" w:type="dxa"/>
              <w:bottom w:w="90" w:type="dxa"/>
              <w:end w:w="100" w:type="dxa"/>
            </w:tcMar>
            <w:shd w:fill="F2F2F2"/>
          </w:tcPr>
          <w:p>
            <w:pPr>
              <w:jc w:val="center"/>
            </w:pPr>
            <w:r>
              <w:rPr>
                <w:sz w:val="18"/>
              </w:rPr>
              <w:t>3.395</w:t>
            </w:r>
          </w:p>
        </w:tc>
      </w:tr>
      <w:tr>
        <w:tc>
          <w:tcPr>
            <w:tcW w:type="dxa" w:w="1800"/>
            <w:vAlign w:val="center"/>
            <w:tcMar>
              <w:top w:w="90" w:type="dxa"/>
              <w:start w:w="100" w:type="dxa"/>
              <w:bottom w:w="90" w:type="dxa"/>
              <w:end w:w="100" w:type="dxa"/>
            </w:tcMar>
          </w:tcPr>
          <w:p>
            <w:pPr>
              <w:jc w:val="left"/>
            </w:pPr>
            <w:r>
              <w:rPr>
                <w:sz w:val="18"/>
              </w:rPr>
              <w:t>10,000</w:t>
            </w:r>
          </w:p>
        </w:tc>
        <w:tc>
          <w:tcPr>
            <w:tcW w:type="dxa" w:w="2232"/>
            <w:vAlign w:val="center"/>
            <w:tcMar>
              <w:top w:w="90" w:type="dxa"/>
              <w:start w:w="100" w:type="dxa"/>
              <w:bottom w:w="90" w:type="dxa"/>
              <w:end w:w="100" w:type="dxa"/>
            </w:tcMar>
          </w:tcPr>
          <w:p>
            <w:pPr>
              <w:jc w:val="center"/>
            </w:pPr>
            <w:r>
              <w:rPr>
                <w:sz w:val="18"/>
              </w:rPr>
              <w:t>11.011</w:t>
            </w:r>
          </w:p>
        </w:tc>
        <w:tc>
          <w:tcPr>
            <w:tcW w:type="dxa" w:w="2376"/>
            <w:vAlign w:val="center"/>
            <w:tcMar>
              <w:top w:w="90" w:type="dxa"/>
              <w:start w:w="100" w:type="dxa"/>
              <w:bottom w:w="90" w:type="dxa"/>
              <w:end w:w="100" w:type="dxa"/>
            </w:tcMar>
          </w:tcPr>
          <w:p>
            <w:pPr>
              <w:jc w:val="center"/>
            </w:pPr>
            <w:r>
              <w:rPr>
                <w:sz w:val="18"/>
              </w:rPr>
              <w:t>26.924</w:t>
            </w:r>
          </w:p>
        </w:tc>
        <w:tc>
          <w:tcPr>
            <w:tcW w:type="dxa" w:w="2376"/>
            <w:vAlign w:val="center"/>
            <w:tcMar>
              <w:top w:w="90" w:type="dxa"/>
              <w:start w:w="100" w:type="dxa"/>
              <w:bottom w:w="90" w:type="dxa"/>
              <w:end w:w="100" w:type="dxa"/>
            </w:tcMar>
          </w:tcPr>
          <w:p>
            <w:pPr>
              <w:jc w:val="center"/>
            </w:pPr>
            <w:r>
              <w:rPr>
                <w:sz w:val="18"/>
              </w:rPr>
              <w:t>7.005</w:t>
            </w:r>
          </w:p>
        </w:tc>
      </w:tr>
      <w:tr>
        <w:tc>
          <w:tcPr>
            <w:tcW w:type="dxa" w:w="1800"/>
            <w:vAlign w:val="center"/>
            <w:tcMar>
              <w:top w:w="90" w:type="dxa"/>
              <w:start w:w="100" w:type="dxa"/>
              <w:bottom w:w="90" w:type="dxa"/>
              <w:end w:w="100" w:type="dxa"/>
            </w:tcMar>
            <w:shd w:fill="F2F2F2"/>
          </w:tcPr>
          <w:p>
            <w:pPr>
              <w:jc w:val="left"/>
            </w:pPr>
            <w:r>
              <w:rPr>
                <w:sz w:val="18"/>
              </w:rPr>
              <w:t>20,000</w:t>
            </w:r>
          </w:p>
        </w:tc>
        <w:tc>
          <w:tcPr>
            <w:tcW w:type="dxa" w:w="2232"/>
            <w:vAlign w:val="center"/>
            <w:tcMar>
              <w:top w:w="90" w:type="dxa"/>
              <w:start w:w="100" w:type="dxa"/>
              <w:bottom w:w="90" w:type="dxa"/>
              <w:end w:w="100" w:type="dxa"/>
            </w:tcMar>
            <w:shd w:fill="F2F2F2"/>
          </w:tcPr>
          <w:p>
            <w:pPr>
              <w:jc w:val="center"/>
            </w:pPr>
            <w:r>
              <w:rPr>
                <w:sz w:val="18"/>
              </w:rPr>
              <w:t>23.264</w:t>
            </w:r>
          </w:p>
        </w:tc>
        <w:tc>
          <w:tcPr>
            <w:tcW w:type="dxa" w:w="2376"/>
            <w:vAlign w:val="center"/>
            <w:tcMar>
              <w:top w:w="90" w:type="dxa"/>
              <w:start w:w="100" w:type="dxa"/>
              <w:bottom w:w="90" w:type="dxa"/>
              <w:end w:w="100" w:type="dxa"/>
            </w:tcMar>
            <w:shd w:fill="F2F2F2"/>
          </w:tcPr>
          <w:p>
            <w:pPr>
              <w:jc w:val="center"/>
            </w:pPr>
            <w:r>
              <w:rPr>
                <w:sz w:val="18"/>
              </w:rPr>
              <w:t>73.830</w:t>
            </w:r>
          </w:p>
        </w:tc>
        <w:tc>
          <w:tcPr>
            <w:tcW w:type="dxa" w:w="2376"/>
            <w:vAlign w:val="center"/>
            <w:tcMar>
              <w:top w:w="90" w:type="dxa"/>
              <w:start w:w="100" w:type="dxa"/>
              <w:bottom w:w="90" w:type="dxa"/>
              <w:end w:w="100" w:type="dxa"/>
            </w:tcMar>
            <w:shd w:fill="F2F2F2"/>
          </w:tcPr>
          <w:p>
            <w:pPr>
              <w:jc w:val="center"/>
            </w:pPr>
            <w:r>
              <w:rPr>
                <w:sz w:val="18"/>
              </w:rPr>
              <w:t>14.884</w:t>
            </w:r>
          </w:p>
        </w:tc>
      </w:tr>
    </w:tbl>
    <w:p>
      <w:pPr>
        <w:spacing w:after="20"/>
      </w:pPr>
    </w:p>
    <w:p>
      <w:pPr>
        <w:pStyle w:val="Heading2"/>
        <w:keepNext/>
      </w:pPr>
      <w:r>
        <w:t>Reverse-sorted input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tblHeader/>
        </w:trPr>
        <w:tc>
          <w:tcPr>
            <w:tcW w:type="dxa" w:w="1800"/>
            <w:vAlign w:val="center"/>
            <w:tcMar>
              <w:top w:w="90" w:type="dxa"/>
              <w:start w:w="100" w:type="dxa"/>
              <w:bottom w:w="90" w:type="dxa"/>
              <w:end w:w="100" w:type="dxa"/>
            </w:tcMar>
            <w:shd w:fill="404040"/>
          </w:tcPr>
          <w:p>
            <w:pPr>
              <w:jc w:val="center"/>
            </w:pPr>
            <w:r>
              <w:rPr>
                <w:b/>
                <w:color w:val="FFFFFF"/>
                <w:sz w:val="18"/>
              </w:rPr>
              <w:t>Input size</w:t>
            </w:r>
          </w:p>
        </w:tc>
        <w:tc>
          <w:tcPr>
            <w:tcW w:type="dxa" w:w="2232"/>
            <w:vAlign w:val="center"/>
            <w:tcMar>
              <w:top w:w="90" w:type="dxa"/>
              <w:start w:w="100" w:type="dxa"/>
              <w:bottom w:w="90" w:type="dxa"/>
              <w:end w:w="100" w:type="dxa"/>
            </w:tcMar>
            <w:shd w:fill="404040"/>
          </w:tcPr>
          <w:p>
            <w:pPr>
              <w:jc w:val="center"/>
            </w:pPr>
            <w:r>
              <w:rPr>
                <w:b/>
                <w:color w:val="FFFFFF"/>
                <w:sz w:val="18"/>
              </w:rPr>
              <w:t>Heapsort ms</w:t>
            </w:r>
          </w:p>
        </w:tc>
        <w:tc>
          <w:tcPr>
            <w:tcW w:type="dxa" w:w="2376"/>
            <w:vAlign w:val="center"/>
            <w:tcMar>
              <w:top w:w="90" w:type="dxa"/>
              <w:start w:w="100" w:type="dxa"/>
              <w:bottom w:w="90" w:type="dxa"/>
              <w:end w:w="100" w:type="dxa"/>
            </w:tcMar>
            <w:shd w:fill="404040"/>
          </w:tcPr>
          <w:p>
            <w:pPr>
              <w:jc w:val="center"/>
            </w:pPr>
            <w:r>
              <w:rPr>
                <w:b/>
                <w:color w:val="FFFFFF"/>
                <w:sz w:val="18"/>
              </w:rPr>
              <w:t>Quicksort ms</w:t>
            </w:r>
          </w:p>
        </w:tc>
        <w:tc>
          <w:tcPr>
            <w:tcW w:type="dxa" w:w="2376"/>
            <w:vAlign w:val="center"/>
            <w:tcMar>
              <w:top w:w="90" w:type="dxa"/>
              <w:start w:w="100" w:type="dxa"/>
              <w:bottom w:w="90" w:type="dxa"/>
              <w:end w:w="100" w:type="dxa"/>
            </w:tcMar>
            <w:shd w:fill="404040"/>
          </w:tcPr>
          <w:p>
            <w:pPr>
              <w:jc w:val="center"/>
            </w:pPr>
            <w:r>
              <w:rPr>
                <w:b/>
                <w:color w:val="FFFFFF"/>
                <w:sz w:val="18"/>
              </w:rPr>
              <w:t>Merge Sort ms</w:t>
            </w:r>
          </w:p>
        </w:tc>
      </w:tr>
      <w:tr>
        <w:tc>
          <w:tcPr>
            <w:tcW w:type="dxa" w:w="1800"/>
            <w:vAlign w:val="center"/>
            <w:tcMar>
              <w:top w:w="90" w:type="dxa"/>
              <w:start w:w="100" w:type="dxa"/>
              <w:bottom w:w="90" w:type="dxa"/>
              <w:end w:w="100" w:type="dxa"/>
            </w:tcMar>
          </w:tcPr>
          <w:p>
            <w:pPr>
              <w:jc w:val="left"/>
            </w:pPr>
            <w:r>
              <w:rPr>
                <w:sz w:val="18"/>
              </w:rPr>
              <w:t>1,000</w:t>
            </w:r>
          </w:p>
        </w:tc>
        <w:tc>
          <w:tcPr>
            <w:tcW w:type="dxa" w:w="2232"/>
            <w:vAlign w:val="center"/>
            <w:tcMar>
              <w:top w:w="90" w:type="dxa"/>
              <w:start w:w="100" w:type="dxa"/>
              <w:bottom w:w="90" w:type="dxa"/>
              <w:end w:w="100" w:type="dxa"/>
            </w:tcMar>
          </w:tcPr>
          <w:p>
            <w:pPr>
              <w:jc w:val="center"/>
            </w:pPr>
            <w:r>
              <w:rPr>
                <w:sz w:val="18"/>
              </w:rPr>
              <w:t>0.702</w:t>
            </w:r>
          </w:p>
        </w:tc>
        <w:tc>
          <w:tcPr>
            <w:tcW w:type="dxa" w:w="2376"/>
            <w:vAlign w:val="center"/>
            <w:tcMar>
              <w:top w:w="90" w:type="dxa"/>
              <w:start w:w="100" w:type="dxa"/>
              <w:bottom w:w="90" w:type="dxa"/>
              <w:end w:w="100" w:type="dxa"/>
            </w:tcMar>
          </w:tcPr>
          <w:p>
            <w:pPr>
              <w:jc w:val="center"/>
            </w:pPr>
            <w:r>
              <w:rPr>
                <w:sz w:val="18"/>
              </w:rPr>
              <w:t>0.858</w:t>
            </w:r>
          </w:p>
        </w:tc>
        <w:tc>
          <w:tcPr>
            <w:tcW w:type="dxa" w:w="2376"/>
            <w:vAlign w:val="center"/>
            <w:tcMar>
              <w:top w:w="90" w:type="dxa"/>
              <w:start w:w="100" w:type="dxa"/>
              <w:bottom w:w="90" w:type="dxa"/>
              <w:end w:w="100" w:type="dxa"/>
            </w:tcMar>
          </w:tcPr>
          <w:p>
            <w:pPr>
              <w:jc w:val="center"/>
            </w:pPr>
            <w:r>
              <w:rPr>
                <w:sz w:val="18"/>
              </w:rPr>
              <w:t>0.527</w:t>
            </w:r>
          </w:p>
        </w:tc>
      </w:tr>
      <w:tr>
        <w:tc>
          <w:tcPr>
            <w:tcW w:type="dxa" w:w="1800"/>
            <w:vAlign w:val="center"/>
            <w:tcMar>
              <w:top w:w="90" w:type="dxa"/>
              <w:start w:w="100" w:type="dxa"/>
              <w:bottom w:w="90" w:type="dxa"/>
              <w:end w:w="100" w:type="dxa"/>
            </w:tcMar>
            <w:shd w:fill="F2F2F2"/>
          </w:tcPr>
          <w:p>
            <w:pPr>
              <w:jc w:val="left"/>
            </w:pPr>
            <w:r>
              <w:rPr>
                <w:sz w:val="18"/>
              </w:rPr>
              <w:t>5,000</w:t>
            </w:r>
          </w:p>
        </w:tc>
        <w:tc>
          <w:tcPr>
            <w:tcW w:type="dxa" w:w="2232"/>
            <w:vAlign w:val="center"/>
            <w:tcMar>
              <w:top w:w="90" w:type="dxa"/>
              <w:start w:w="100" w:type="dxa"/>
              <w:bottom w:w="90" w:type="dxa"/>
              <w:end w:w="100" w:type="dxa"/>
            </w:tcMar>
            <w:shd w:fill="F2F2F2"/>
          </w:tcPr>
          <w:p>
            <w:pPr>
              <w:jc w:val="center"/>
            </w:pPr>
            <w:r>
              <w:rPr>
                <w:sz w:val="18"/>
              </w:rPr>
              <w:t>4.638</w:t>
            </w:r>
          </w:p>
        </w:tc>
        <w:tc>
          <w:tcPr>
            <w:tcW w:type="dxa" w:w="2376"/>
            <w:vAlign w:val="center"/>
            <w:tcMar>
              <w:top w:w="90" w:type="dxa"/>
              <w:start w:w="100" w:type="dxa"/>
              <w:bottom w:w="90" w:type="dxa"/>
              <w:end w:w="100" w:type="dxa"/>
            </w:tcMar>
            <w:shd w:fill="F2F2F2"/>
          </w:tcPr>
          <w:p>
            <w:pPr>
              <w:jc w:val="center"/>
            </w:pPr>
            <w:r>
              <w:rPr>
                <w:sz w:val="18"/>
              </w:rPr>
              <w:t>8.023</w:t>
            </w:r>
          </w:p>
        </w:tc>
        <w:tc>
          <w:tcPr>
            <w:tcW w:type="dxa" w:w="2376"/>
            <w:vAlign w:val="center"/>
            <w:tcMar>
              <w:top w:w="90" w:type="dxa"/>
              <w:start w:w="100" w:type="dxa"/>
              <w:bottom w:w="90" w:type="dxa"/>
              <w:end w:w="100" w:type="dxa"/>
            </w:tcMar>
            <w:shd w:fill="F2F2F2"/>
          </w:tcPr>
          <w:p>
            <w:pPr>
              <w:jc w:val="center"/>
            </w:pPr>
            <w:r>
              <w:rPr>
                <w:sz w:val="18"/>
              </w:rPr>
              <w:t>3.385</w:t>
            </w:r>
          </w:p>
        </w:tc>
      </w:tr>
      <w:tr>
        <w:tc>
          <w:tcPr>
            <w:tcW w:type="dxa" w:w="1800"/>
            <w:vAlign w:val="center"/>
            <w:tcMar>
              <w:top w:w="90" w:type="dxa"/>
              <w:start w:w="100" w:type="dxa"/>
              <w:bottom w:w="90" w:type="dxa"/>
              <w:end w:w="100" w:type="dxa"/>
            </w:tcMar>
          </w:tcPr>
          <w:p>
            <w:pPr>
              <w:jc w:val="left"/>
            </w:pPr>
            <w:r>
              <w:rPr>
                <w:sz w:val="18"/>
              </w:rPr>
              <w:t>10,000</w:t>
            </w:r>
          </w:p>
        </w:tc>
        <w:tc>
          <w:tcPr>
            <w:tcW w:type="dxa" w:w="2232"/>
            <w:vAlign w:val="center"/>
            <w:tcMar>
              <w:top w:w="90" w:type="dxa"/>
              <w:start w:w="100" w:type="dxa"/>
              <w:bottom w:w="90" w:type="dxa"/>
              <w:end w:w="100" w:type="dxa"/>
            </w:tcMar>
          </w:tcPr>
          <w:p>
            <w:pPr>
              <w:jc w:val="center"/>
            </w:pPr>
            <w:r>
              <w:rPr>
                <w:sz w:val="18"/>
              </w:rPr>
              <w:t>10.094</w:t>
            </w:r>
          </w:p>
        </w:tc>
        <w:tc>
          <w:tcPr>
            <w:tcW w:type="dxa" w:w="2376"/>
            <w:vAlign w:val="center"/>
            <w:tcMar>
              <w:top w:w="90" w:type="dxa"/>
              <w:start w:w="100" w:type="dxa"/>
              <w:bottom w:w="90" w:type="dxa"/>
              <w:end w:w="100" w:type="dxa"/>
            </w:tcMar>
          </w:tcPr>
          <w:p>
            <w:pPr>
              <w:jc w:val="center"/>
            </w:pPr>
            <w:r>
              <w:rPr>
                <w:sz w:val="18"/>
              </w:rPr>
              <w:t>20.568</w:t>
            </w:r>
          </w:p>
        </w:tc>
        <w:tc>
          <w:tcPr>
            <w:tcW w:type="dxa" w:w="2376"/>
            <w:vAlign w:val="center"/>
            <w:tcMar>
              <w:top w:w="90" w:type="dxa"/>
              <w:start w:w="100" w:type="dxa"/>
              <w:bottom w:w="90" w:type="dxa"/>
              <w:end w:w="100" w:type="dxa"/>
            </w:tcMar>
          </w:tcPr>
          <w:p>
            <w:pPr>
              <w:jc w:val="center"/>
            </w:pPr>
            <w:r>
              <w:rPr>
                <w:sz w:val="18"/>
              </w:rPr>
              <w:t>6.896</w:t>
            </w:r>
          </w:p>
        </w:tc>
      </w:tr>
      <w:tr>
        <w:tc>
          <w:tcPr>
            <w:tcW w:type="dxa" w:w="1800"/>
            <w:vAlign w:val="center"/>
            <w:tcMar>
              <w:top w:w="90" w:type="dxa"/>
              <w:start w:w="100" w:type="dxa"/>
              <w:bottom w:w="90" w:type="dxa"/>
              <w:end w:w="100" w:type="dxa"/>
            </w:tcMar>
            <w:shd w:fill="F2F2F2"/>
          </w:tcPr>
          <w:p>
            <w:pPr>
              <w:jc w:val="left"/>
            </w:pPr>
            <w:r>
              <w:rPr>
                <w:sz w:val="18"/>
              </w:rPr>
              <w:t>20,000</w:t>
            </w:r>
          </w:p>
        </w:tc>
        <w:tc>
          <w:tcPr>
            <w:tcW w:type="dxa" w:w="2232"/>
            <w:vAlign w:val="center"/>
            <w:tcMar>
              <w:top w:w="90" w:type="dxa"/>
              <w:start w:w="100" w:type="dxa"/>
              <w:bottom w:w="90" w:type="dxa"/>
              <w:end w:w="100" w:type="dxa"/>
            </w:tcMar>
            <w:shd w:fill="F2F2F2"/>
          </w:tcPr>
          <w:p>
            <w:pPr>
              <w:jc w:val="center"/>
            </w:pPr>
            <w:r>
              <w:rPr>
                <w:sz w:val="18"/>
              </w:rPr>
              <w:t>21.709</w:t>
            </w:r>
          </w:p>
        </w:tc>
        <w:tc>
          <w:tcPr>
            <w:tcW w:type="dxa" w:w="2376"/>
            <w:vAlign w:val="center"/>
            <w:tcMar>
              <w:top w:w="90" w:type="dxa"/>
              <w:start w:w="100" w:type="dxa"/>
              <w:bottom w:w="90" w:type="dxa"/>
              <w:end w:w="100" w:type="dxa"/>
            </w:tcMar>
            <w:shd w:fill="F2F2F2"/>
          </w:tcPr>
          <w:p>
            <w:pPr>
              <w:jc w:val="center"/>
            </w:pPr>
            <w:r>
              <w:rPr>
                <w:sz w:val="18"/>
              </w:rPr>
              <w:t>55.392</w:t>
            </w:r>
          </w:p>
        </w:tc>
        <w:tc>
          <w:tcPr>
            <w:tcW w:type="dxa" w:w="2376"/>
            <w:vAlign w:val="center"/>
            <w:tcMar>
              <w:top w:w="90" w:type="dxa"/>
              <w:start w:w="100" w:type="dxa"/>
              <w:bottom w:w="90" w:type="dxa"/>
              <w:end w:w="100" w:type="dxa"/>
            </w:tcMar>
            <w:shd w:fill="F2F2F2"/>
          </w:tcPr>
          <w:p>
            <w:pPr>
              <w:jc w:val="center"/>
            </w:pPr>
            <w:r>
              <w:rPr>
                <w:sz w:val="18"/>
              </w:rPr>
              <w:t>14.315</w:t>
            </w:r>
          </w:p>
        </w:tc>
      </w:tr>
    </w:tbl>
    <w:p>
      <w:pPr>
        <w:spacing w:after="20"/>
      </w:pPr>
    </w:p>
    <w:p>
      <w:pPr>
        <w:pStyle w:val="Heading2"/>
        <w:keepNext/>
      </w:pPr>
      <w:r>
        <w:t>Random input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tblHeader/>
        </w:trPr>
        <w:tc>
          <w:tcPr>
            <w:tcW w:type="dxa" w:w="1800"/>
            <w:vAlign w:val="center"/>
            <w:tcMar>
              <w:top w:w="90" w:type="dxa"/>
              <w:start w:w="100" w:type="dxa"/>
              <w:bottom w:w="90" w:type="dxa"/>
              <w:end w:w="100" w:type="dxa"/>
            </w:tcMar>
            <w:shd w:fill="404040"/>
          </w:tcPr>
          <w:p>
            <w:pPr>
              <w:jc w:val="center"/>
            </w:pPr>
            <w:r>
              <w:rPr>
                <w:b/>
                <w:color w:val="FFFFFF"/>
                <w:sz w:val="18"/>
              </w:rPr>
              <w:t>Input size</w:t>
            </w:r>
          </w:p>
        </w:tc>
        <w:tc>
          <w:tcPr>
            <w:tcW w:type="dxa" w:w="2232"/>
            <w:vAlign w:val="center"/>
            <w:tcMar>
              <w:top w:w="90" w:type="dxa"/>
              <w:start w:w="100" w:type="dxa"/>
              <w:bottom w:w="90" w:type="dxa"/>
              <w:end w:w="100" w:type="dxa"/>
            </w:tcMar>
            <w:shd w:fill="404040"/>
          </w:tcPr>
          <w:p>
            <w:pPr>
              <w:jc w:val="center"/>
            </w:pPr>
            <w:r>
              <w:rPr>
                <w:b/>
                <w:color w:val="FFFFFF"/>
                <w:sz w:val="18"/>
              </w:rPr>
              <w:t>Heapsort ms</w:t>
            </w:r>
          </w:p>
        </w:tc>
        <w:tc>
          <w:tcPr>
            <w:tcW w:type="dxa" w:w="2376"/>
            <w:vAlign w:val="center"/>
            <w:tcMar>
              <w:top w:w="90" w:type="dxa"/>
              <w:start w:w="100" w:type="dxa"/>
              <w:bottom w:w="90" w:type="dxa"/>
              <w:end w:w="100" w:type="dxa"/>
            </w:tcMar>
            <w:shd w:fill="404040"/>
          </w:tcPr>
          <w:p>
            <w:pPr>
              <w:jc w:val="center"/>
            </w:pPr>
            <w:r>
              <w:rPr>
                <w:b/>
                <w:color w:val="FFFFFF"/>
                <w:sz w:val="18"/>
              </w:rPr>
              <w:t>Quicksort ms</w:t>
            </w:r>
          </w:p>
        </w:tc>
        <w:tc>
          <w:tcPr>
            <w:tcW w:type="dxa" w:w="2376"/>
            <w:vAlign w:val="center"/>
            <w:tcMar>
              <w:top w:w="90" w:type="dxa"/>
              <w:start w:w="100" w:type="dxa"/>
              <w:bottom w:w="90" w:type="dxa"/>
              <w:end w:w="100" w:type="dxa"/>
            </w:tcMar>
            <w:shd w:fill="404040"/>
          </w:tcPr>
          <w:p>
            <w:pPr>
              <w:jc w:val="center"/>
            </w:pPr>
            <w:r>
              <w:rPr>
                <w:b/>
                <w:color w:val="FFFFFF"/>
                <w:sz w:val="18"/>
              </w:rPr>
              <w:t>Merge Sort ms</w:t>
            </w:r>
          </w:p>
        </w:tc>
      </w:tr>
      <w:tr>
        <w:tc>
          <w:tcPr>
            <w:tcW w:type="dxa" w:w="1800"/>
            <w:vAlign w:val="center"/>
            <w:tcMar>
              <w:top w:w="90" w:type="dxa"/>
              <w:start w:w="100" w:type="dxa"/>
              <w:bottom w:w="90" w:type="dxa"/>
              <w:end w:w="100" w:type="dxa"/>
            </w:tcMar>
          </w:tcPr>
          <w:p>
            <w:pPr>
              <w:jc w:val="left"/>
            </w:pPr>
            <w:r>
              <w:rPr>
                <w:sz w:val="18"/>
              </w:rPr>
              <w:t>1,000</w:t>
            </w:r>
          </w:p>
        </w:tc>
        <w:tc>
          <w:tcPr>
            <w:tcW w:type="dxa" w:w="2232"/>
            <w:vAlign w:val="center"/>
            <w:tcMar>
              <w:top w:w="90" w:type="dxa"/>
              <w:start w:w="100" w:type="dxa"/>
              <w:bottom w:w="90" w:type="dxa"/>
              <w:end w:w="100" w:type="dxa"/>
            </w:tcMar>
          </w:tcPr>
          <w:p>
            <w:pPr>
              <w:jc w:val="center"/>
            </w:pPr>
            <w:r>
              <w:rPr>
                <w:sz w:val="18"/>
              </w:rPr>
              <w:t>0.782</w:t>
            </w:r>
          </w:p>
        </w:tc>
        <w:tc>
          <w:tcPr>
            <w:tcW w:type="dxa" w:w="2376"/>
            <w:vAlign w:val="center"/>
            <w:tcMar>
              <w:top w:w="90" w:type="dxa"/>
              <w:start w:w="100" w:type="dxa"/>
              <w:bottom w:w="90" w:type="dxa"/>
              <w:end w:w="100" w:type="dxa"/>
            </w:tcMar>
          </w:tcPr>
          <w:p>
            <w:pPr>
              <w:jc w:val="center"/>
            </w:pPr>
            <w:r>
              <w:rPr>
                <w:sz w:val="18"/>
              </w:rPr>
              <w:t>0.659</w:t>
            </w:r>
          </w:p>
        </w:tc>
        <w:tc>
          <w:tcPr>
            <w:tcW w:type="dxa" w:w="2376"/>
            <w:vAlign w:val="center"/>
            <w:tcMar>
              <w:top w:w="90" w:type="dxa"/>
              <w:start w:w="100" w:type="dxa"/>
              <w:bottom w:w="90" w:type="dxa"/>
              <w:end w:w="100" w:type="dxa"/>
            </w:tcMar>
          </w:tcPr>
          <w:p>
            <w:pPr>
              <w:jc w:val="center"/>
            </w:pPr>
            <w:r>
              <w:rPr>
                <w:sz w:val="18"/>
              </w:rPr>
              <w:t>0.633</w:t>
            </w:r>
          </w:p>
        </w:tc>
      </w:tr>
      <w:tr>
        <w:tc>
          <w:tcPr>
            <w:tcW w:type="dxa" w:w="1800"/>
            <w:vAlign w:val="center"/>
            <w:tcMar>
              <w:top w:w="90" w:type="dxa"/>
              <w:start w:w="100" w:type="dxa"/>
              <w:bottom w:w="90" w:type="dxa"/>
              <w:end w:w="100" w:type="dxa"/>
            </w:tcMar>
            <w:shd w:fill="F2F2F2"/>
          </w:tcPr>
          <w:p>
            <w:pPr>
              <w:jc w:val="left"/>
            </w:pPr>
            <w:r>
              <w:rPr>
                <w:sz w:val="18"/>
              </w:rPr>
              <w:t>5,000</w:t>
            </w:r>
          </w:p>
        </w:tc>
        <w:tc>
          <w:tcPr>
            <w:tcW w:type="dxa" w:w="2232"/>
            <w:vAlign w:val="center"/>
            <w:tcMar>
              <w:top w:w="90" w:type="dxa"/>
              <w:start w:w="100" w:type="dxa"/>
              <w:bottom w:w="90" w:type="dxa"/>
              <w:end w:w="100" w:type="dxa"/>
            </w:tcMar>
            <w:shd w:fill="F2F2F2"/>
          </w:tcPr>
          <w:p>
            <w:pPr>
              <w:jc w:val="center"/>
            </w:pPr>
            <w:r>
              <w:rPr>
                <w:sz w:val="18"/>
              </w:rPr>
              <w:t>5.006</w:t>
            </w:r>
          </w:p>
        </w:tc>
        <w:tc>
          <w:tcPr>
            <w:tcW w:type="dxa" w:w="2376"/>
            <w:vAlign w:val="center"/>
            <w:tcMar>
              <w:top w:w="90" w:type="dxa"/>
              <w:start w:w="100" w:type="dxa"/>
              <w:bottom w:w="90" w:type="dxa"/>
              <w:end w:w="100" w:type="dxa"/>
            </w:tcMar>
            <w:shd w:fill="F2F2F2"/>
          </w:tcPr>
          <w:p>
            <w:pPr>
              <w:jc w:val="center"/>
            </w:pPr>
            <w:r>
              <w:rPr>
                <w:sz w:val="18"/>
              </w:rPr>
              <w:t>3.930</w:t>
            </w:r>
          </w:p>
        </w:tc>
        <w:tc>
          <w:tcPr>
            <w:tcW w:type="dxa" w:w="2376"/>
            <w:vAlign w:val="center"/>
            <w:tcMar>
              <w:top w:w="90" w:type="dxa"/>
              <w:start w:w="100" w:type="dxa"/>
              <w:bottom w:w="90" w:type="dxa"/>
              <w:end w:w="100" w:type="dxa"/>
            </w:tcMar>
            <w:shd w:fill="F2F2F2"/>
          </w:tcPr>
          <w:p>
            <w:pPr>
              <w:jc w:val="center"/>
            </w:pPr>
            <w:r>
              <w:rPr>
                <w:sz w:val="18"/>
              </w:rPr>
              <w:t>3.946</w:t>
            </w:r>
          </w:p>
        </w:tc>
      </w:tr>
      <w:tr>
        <w:tc>
          <w:tcPr>
            <w:tcW w:type="dxa" w:w="1800"/>
            <w:vAlign w:val="center"/>
            <w:tcMar>
              <w:top w:w="90" w:type="dxa"/>
              <w:start w:w="100" w:type="dxa"/>
              <w:bottom w:w="90" w:type="dxa"/>
              <w:end w:w="100" w:type="dxa"/>
            </w:tcMar>
          </w:tcPr>
          <w:p>
            <w:pPr>
              <w:jc w:val="left"/>
            </w:pPr>
            <w:r>
              <w:rPr>
                <w:sz w:val="18"/>
              </w:rPr>
              <w:t>10,000</w:t>
            </w:r>
          </w:p>
        </w:tc>
        <w:tc>
          <w:tcPr>
            <w:tcW w:type="dxa" w:w="2232"/>
            <w:vAlign w:val="center"/>
            <w:tcMar>
              <w:top w:w="90" w:type="dxa"/>
              <w:start w:w="100" w:type="dxa"/>
              <w:bottom w:w="90" w:type="dxa"/>
              <w:end w:w="100" w:type="dxa"/>
            </w:tcMar>
          </w:tcPr>
          <w:p>
            <w:pPr>
              <w:jc w:val="center"/>
            </w:pPr>
            <w:r>
              <w:rPr>
                <w:sz w:val="18"/>
              </w:rPr>
              <w:t>11.224</w:t>
            </w:r>
          </w:p>
        </w:tc>
        <w:tc>
          <w:tcPr>
            <w:tcW w:type="dxa" w:w="2376"/>
            <w:vAlign w:val="center"/>
            <w:tcMar>
              <w:top w:w="90" w:type="dxa"/>
              <w:start w:w="100" w:type="dxa"/>
              <w:bottom w:w="90" w:type="dxa"/>
              <w:end w:w="100" w:type="dxa"/>
            </w:tcMar>
          </w:tcPr>
          <w:p>
            <w:pPr>
              <w:jc w:val="center"/>
            </w:pPr>
            <w:r>
              <w:rPr>
                <w:sz w:val="18"/>
              </w:rPr>
              <w:t>9.130</w:t>
            </w:r>
          </w:p>
        </w:tc>
        <w:tc>
          <w:tcPr>
            <w:tcW w:type="dxa" w:w="2376"/>
            <w:vAlign w:val="center"/>
            <w:tcMar>
              <w:top w:w="90" w:type="dxa"/>
              <w:start w:w="100" w:type="dxa"/>
              <w:bottom w:w="90" w:type="dxa"/>
              <w:end w:w="100" w:type="dxa"/>
            </w:tcMar>
          </w:tcPr>
          <w:p>
            <w:pPr>
              <w:jc w:val="center"/>
            </w:pPr>
            <w:r>
              <w:rPr>
                <w:sz w:val="18"/>
              </w:rPr>
              <w:t>8.942</w:t>
            </w:r>
          </w:p>
        </w:tc>
      </w:tr>
      <w:tr>
        <w:tc>
          <w:tcPr>
            <w:tcW w:type="dxa" w:w="1800"/>
            <w:vAlign w:val="center"/>
            <w:tcMar>
              <w:top w:w="90" w:type="dxa"/>
              <w:start w:w="100" w:type="dxa"/>
              <w:bottom w:w="90" w:type="dxa"/>
              <w:end w:w="100" w:type="dxa"/>
            </w:tcMar>
            <w:shd w:fill="F2F2F2"/>
          </w:tcPr>
          <w:p>
            <w:pPr>
              <w:jc w:val="left"/>
            </w:pPr>
            <w:r>
              <w:rPr>
                <w:sz w:val="18"/>
              </w:rPr>
              <w:t>20,000</w:t>
            </w:r>
          </w:p>
        </w:tc>
        <w:tc>
          <w:tcPr>
            <w:tcW w:type="dxa" w:w="2232"/>
            <w:vAlign w:val="center"/>
            <w:tcMar>
              <w:top w:w="90" w:type="dxa"/>
              <w:start w:w="100" w:type="dxa"/>
              <w:bottom w:w="90" w:type="dxa"/>
              <w:end w:w="100" w:type="dxa"/>
            </w:tcMar>
            <w:shd w:fill="F2F2F2"/>
          </w:tcPr>
          <w:p>
            <w:pPr>
              <w:jc w:val="center"/>
            </w:pPr>
            <w:r>
              <w:rPr>
                <w:sz w:val="18"/>
              </w:rPr>
              <w:t>24.182</w:t>
            </w:r>
          </w:p>
        </w:tc>
        <w:tc>
          <w:tcPr>
            <w:tcW w:type="dxa" w:w="2376"/>
            <w:vAlign w:val="center"/>
            <w:tcMar>
              <w:top w:w="90" w:type="dxa"/>
              <w:start w:w="100" w:type="dxa"/>
              <w:bottom w:w="90" w:type="dxa"/>
              <w:end w:w="100" w:type="dxa"/>
            </w:tcMar>
            <w:shd w:fill="F2F2F2"/>
          </w:tcPr>
          <w:p>
            <w:pPr>
              <w:jc w:val="center"/>
            </w:pPr>
            <w:r>
              <w:rPr>
                <w:sz w:val="18"/>
              </w:rPr>
              <w:t>18.346</w:t>
            </w:r>
          </w:p>
        </w:tc>
        <w:tc>
          <w:tcPr>
            <w:tcW w:type="dxa" w:w="2376"/>
            <w:vAlign w:val="center"/>
            <w:tcMar>
              <w:top w:w="90" w:type="dxa"/>
              <w:start w:w="100" w:type="dxa"/>
              <w:bottom w:w="90" w:type="dxa"/>
              <w:end w:w="100" w:type="dxa"/>
            </w:tcMar>
            <w:shd w:fill="F2F2F2"/>
          </w:tcPr>
          <w:p>
            <w:pPr>
              <w:jc w:val="center"/>
            </w:pPr>
            <w:r>
              <w:rPr>
                <w:sz w:val="18"/>
              </w:rPr>
              <w:t>18.068</w:t>
            </w:r>
          </w:p>
        </w:tc>
      </w:tr>
    </w:tbl>
    <w:p>
      <w:pPr>
        <w:spacing w:after="20"/>
      </w:pPr>
    </w:p>
    <w:p>
      <w:pPr>
        <w:spacing w:after="140" w:line="259" w:lineRule="auto"/>
      </w:pPr>
      <w:r>
        <w:t>Heapsort grew consistently across the three distributions. At 20,000 items, its medians ranged from 21.709 to 24.182 milliseconds. Merge Sort was faster for sorted and reverse inputs, with 14.884 and 14.315 milliseconds, but it requires O(n) temporary storage. Merge Sort was slightly fastest on the 20,000-item random case at 18.068 milliseconds, followed closely by Quicksort at 18.346 milliseconds. Quicksort was much slower on the sorted input in this Python implementation. Inspection of its partition behavior shows that the in-place three-way rearrangement can produce uneven later partitions despite median-of-three pivot selection. The timing measurements alone do not isolate partition shape from other implementation and interpreter costs.</w:t>
      </w:r>
    </w:p>
    <w:p>
      <w:pPr>
        <w:spacing w:after="140" w:line="259" w:lineRule="auto"/>
      </w:pPr>
      <w:r>
        <w:t>Across these four sizes, the measured times generally increased as input size increased, but this small finite sample does not establish an asymptotic rate. Heapsort and Merge Sort have O(n log n) worst-case bounds, while this Quicksort can still degrade to O(n squared) in the worst case. Heapsort's main advantage is predictable asymptotic behavior with constant auxiliary space. Its disadvantage here is a larger constant cost than Merge Sort on ordered data and than Quicksort on random data. This is consistent with the Chapter 6 warning that an efficient Quicksort can outperform Heapsort in practice even when Heapsort provides a stronger worst-case guarantee.</w:t>
      </w:r>
    </w:p>
    <w:p>
      <w:pPr>
        <w:pStyle w:val="Heading1"/>
        <w:keepNext/>
      </w:pPr>
      <w:r>
        <w:t>Priority queue design</w:t>
      </w:r>
    </w:p>
    <w:p>
      <w:pPr>
        <w:spacing w:after="140" w:line="259" w:lineRule="auto"/>
      </w:pPr>
      <w:r>
        <w:t>The priority queue uses a Python list because a complete binary heap maps directly to contiguous array indexes. This representation avoids node objects and pointers while making parent and child locations simple arithmetic. I selected a max-heap because the scheduler must choose the highest-priority available task first. Each Task stores a task ID, priority, arrival time, deadline, and duration.</w:t>
      </w:r>
    </w:p>
    <w:p>
      <w:pPr>
        <w:spacing w:after="140" w:line="259" w:lineRule="auto"/>
      </w:pPr>
      <w:r>
        <w:t>A dictionary maps each task ID to its current heap index. That map lets increase_priority find a task in expected O(1) time before its O(log n) sift-up. Without the map, finding the task would take O(n). Python manages the dictionary's hash-table load factor by resizing. Dictionary lookups and updates are expected O(1), and list append is amortized O(1). An individual dictionary or list resize can take O(n), so the Python operations are not strict worst-case O(log n). Over a normal operation sequence, insertion, extraction, and key updates are expected amortized O(log n). The heap traversal itself remains O(log 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tblHeader/>
        </w:trPr>
        <w:tc>
          <w:tcPr>
            <w:tcW w:type="dxa" w:w="1944"/>
            <w:vAlign w:val="center"/>
            <w:tcMar>
              <w:top w:w="90" w:type="dxa"/>
              <w:start w:w="100" w:type="dxa"/>
              <w:bottom w:w="90" w:type="dxa"/>
              <w:end w:w="100" w:type="dxa"/>
            </w:tcMar>
            <w:shd w:fill="404040"/>
          </w:tcPr>
          <w:p>
            <w:pPr>
              <w:jc w:val="center"/>
            </w:pPr>
            <w:r>
              <w:rPr>
                <w:b/>
                <w:color w:val="FFFFFF"/>
                <w:sz w:val="18"/>
              </w:rPr>
              <w:t>Operation</w:t>
            </w:r>
          </w:p>
        </w:tc>
        <w:tc>
          <w:tcPr>
            <w:tcW w:type="dxa" w:w="2520"/>
            <w:vAlign w:val="center"/>
            <w:tcMar>
              <w:top w:w="90" w:type="dxa"/>
              <w:start w:w="100" w:type="dxa"/>
              <w:bottom w:w="90" w:type="dxa"/>
              <w:end w:w="100" w:type="dxa"/>
            </w:tcMar>
            <w:shd w:fill="404040"/>
          </w:tcPr>
          <w:p>
            <w:pPr>
              <w:jc w:val="center"/>
            </w:pPr>
            <w:r>
              <w:rPr>
                <w:b/>
                <w:color w:val="FFFFFF"/>
                <w:sz w:val="18"/>
              </w:rPr>
              <w:t>Time</w:t>
            </w:r>
          </w:p>
        </w:tc>
        <w:tc>
          <w:tcPr>
            <w:tcW w:type="dxa" w:w="4320"/>
            <w:vAlign w:val="center"/>
            <w:tcMar>
              <w:top w:w="90" w:type="dxa"/>
              <w:start w:w="100" w:type="dxa"/>
              <w:bottom w:w="90" w:type="dxa"/>
              <w:end w:w="100" w:type="dxa"/>
            </w:tcMar>
            <w:shd w:fill="404040"/>
          </w:tcPr>
          <w:p>
            <w:pPr>
              <w:jc w:val="center"/>
            </w:pPr>
            <w:r>
              <w:rPr>
                <w:b/>
                <w:color w:val="FFFFFF"/>
                <w:sz w:val="18"/>
              </w:rPr>
              <w:t>Reason</w:t>
            </w:r>
          </w:p>
        </w:tc>
      </w:tr>
      <w:tr>
        <w:tc>
          <w:tcPr>
            <w:tcW w:type="dxa" w:w="1944"/>
            <w:vAlign w:val="center"/>
            <w:tcMar>
              <w:top w:w="90" w:type="dxa"/>
              <w:start w:w="100" w:type="dxa"/>
              <w:bottom w:w="90" w:type="dxa"/>
              <w:end w:w="100" w:type="dxa"/>
            </w:tcMar>
          </w:tcPr>
          <w:p>
            <w:pPr>
              <w:jc w:val="left"/>
            </w:pPr>
            <w:r>
              <w:rPr>
                <w:sz w:val="18"/>
              </w:rPr>
              <w:t>insert</w:t>
            </w:r>
          </w:p>
        </w:tc>
        <w:tc>
          <w:tcPr>
            <w:tcW w:type="dxa" w:w="2520"/>
            <w:vAlign w:val="center"/>
            <w:tcMar>
              <w:top w:w="90" w:type="dxa"/>
              <w:start w:w="100" w:type="dxa"/>
              <w:bottom w:w="90" w:type="dxa"/>
              <w:end w:w="100" w:type="dxa"/>
            </w:tcMar>
          </w:tcPr>
          <w:p>
            <w:pPr>
              <w:jc w:val="center"/>
            </w:pPr>
            <w:r>
              <w:rPr>
                <w:sz w:val="18"/>
              </w:rPr>
              <w:t>Expected amortized O(log n)</w:t>
            </w:r>
          </w:p>
        </w:tc>
        <w:tc>
          <w:tcPr>
            <w:tcW w:type="dxa" w:w="4320"/>
            <w:vAlign w:val="center"/>
            <w:tcMar>
              <w:top w:w="90" w:type="dxa"/>
              <w:start w:w="100" w:type="dxa"/>
              <w:bottom w:w="90" w:type="dxa"/>
              <w:end w:w="100" w:type="dxa"/>
            </w:tcMar>
          </w:tcPr>
          <w:p>
            <w:pPr>
              <w:jc w:val="center"/>
            </w:pPr>
            <w:r>
              <w:rPr>
                <w:sz w:val="18"/>
              </w:rPr>
              <w:t>Amortized append, expected map update, then sift up</w:t>
            </w:r>
          </w:p>
        </w:tc>
      </w:tr>
      <w:tr>
        <w:tc>
          <w:tcPr>
            <w:tcW w:type="dxa" w:w="1944"/>
            <w:vAlign w:val="center"/>
            <w:tcMar>
              <w:top w:w="90" w:type="dxa"/>
              <w:start w:w="100" w:type="dxa"/>
              <w:bottom w:w="90" w:type="dxa"/>
              <w:end w:w="100" w:type="dxa"/>
            </w:tcMar>
            <w:shd w:fill="F2F2F2"/>
          </w:tcPr>
          <w:p>
            <w:pPr>
              <w:jc w:val="left"/>
            </w:pPr>
            <w:r>
              <w:rPr>
                <w:sz w:val="18"/>
              </w:rPr>
              <w:t>extract_max</w:t>
            </w:r>
          </w:p>
        </w:tc>
        <w:tc>
          <w:tcPr>
            <w:tcW w:type="dxa" w:w="2520"/>
            <w:vAlign w:val="center"/>
            <w:tcMar>
              <w:top w:w="90" w:type="dxa"/>
              <w:start w:w="100" w:type="dxa"/>
              <w:bottom w:w="90" w:type="dxa"/>
              <w:end w:w="100" w:type="dxa"/>
            </w:tcMar>
            <w:shd w:fill="F2F2F2"/>
          </w:tcPr>
          <w:p>
            <w:pPr>
              <w:jc w:val="center"/>
            </w:pPr>
            <w:r>
              <w:rPr>
                <w:sz w:val="18"/>
              </w:rPr>
              <w:t>Expected amortized O(log n)</w:t>
            </w:r>
          </w:p>
        </w:tc>
        <w:tc>
          <w:tcPr>
            <w:tcW w:type="dxa" w:w="4320"/>
            <w:vAlign w:val="center"/>
            <w:tcMar>
              <w:top w:w="90" w:type="dxa"/>
              <w:start w:w="100" w:type="dxa"/>
              <w:bottom w:w="90" w:type="dxa"/>
              <w:end w:w="100" w:type="dxa"/>
            </w:tcMar>
            <w:shd w:fill="F2F2F2"/>
          </w:tcPr>
          <w:p>
            <w:pPr>
              <w:jc w:val="center"/>
            </w:pPr>
            <w:r>
              <w:rPr>
                <w:sz w:val="18"/>
              </w:rPr>
              <w:t>Expected map updates, then sift down</w:t>
            </w:r>
          </w:p>
        </w:tc>
      </w:tr>
      <w:tr>
        <w:tc>
          <w:tcPr>
            <w:tcW w:type="dxa" w:w="1944"/>
            <w:vAlign w:val="center"/>
            <w:tcMar>
              <w:top w:w="90" w:type="dxa"/>
              <w:start w:w="100" w:type="dxa"/>
              <w:bottom w:w="90" w:type="dxa"/>
              <w:end w:w="100" w:type="dxa"/>
            </w:tcMar>
          </w:tcPr>
          <w:p>
            <w:pPr>
              <w:jc w:val="left"/>
            </w:pPr>
            <w:r>
              <w:rPr>
                <w:sz w:val="18"/>
              </w:rPr>
              <w:t>increase_priority</w:t>
            </w:r>
          </w:p>
        </w:tc>
        <w:tc>
          <w:tcPr>
            <w:tcW w:type="dxa" w:w="2520"/>
            <w:vAlign w:val="center"/>
            <w:tcMar>
              <w:top w:w="90" w:type="dxa"/>
              <w:start w:w="100" w:type="dxa"/>
              <w:bottom w:w="90" w:type="dxa"/>
              <w:end w:w="100" w:type="dxa"/>
            </w:tcMar>
          </w:tcPr>
          <w:p>
            <w:pPr>
              <w:jc w:val="center"/>
            </w:pPr>
            <w:r>
              <w:rPr>
                <w:sz w:val="18"/>
              </w:rPr>
              <w:t>Expected O(log n)</w:t>
            </w:r>
          </w:p>
        </w:tc>
        <w:tc>
          <w:tcPr>
            <w:tcW w:type="dxa" w:w="4320"/>
            <w:vAlign w:val="center"/>
            <w:tcMar>
              <w:top w:w="90" w:type="dxa"/>
              <w:start w:w="100" w:type="dxa"/>
              <w:bottom w:w="90" w:type="dxa"/>
              <w:end w:w="100" w:type="dxa"/>
            </w:tcMar>
          </w:tcPr>
          <w:p>
            <w:pPr>
              <w:jc w:val="center"/>
            </w:pPr>
            <w:r>
              <w:rPr>
                <w:sz w:val="18"/>
              </w:rPr>
              <w:t>Expected map lookup and updates, then sift up</w:t>
            </w:r>
          </w:p>
        </w:tc>
      </w:tr>
      <w:tr>
        <w:tc>
          <w:tcPr>
            <w:tcW w:type="dxa" w:w="1944"/>
            <w:vAlign w:val="center"/>
            <w:tcMar>
              <w:top w:w="90" w:type="dxa"/>
              <w:start w:w="100" w:type="dxa"/>
              <w:bottom w:w="90" w:type="dxa"/>
              <w:end w:w="100" w:type="dxa"/>
            </w:tcMar>
            <w:shd w:fill="F2F2F2"/>
          </w:tcPr>
          <w:p>
            <w:pPr>
              <w:jc w:val="left"/>
            </w:pPr>
            <w:r>
              <w:rPr>
                <w:sz w:val="18"/>
              </w:rPr>
              <w:t>is_empty</w:t>
            </w:r>
          </w:p>
        </w:tc>
        <w:tc>
          <w:tcPr>
            <w:tcW w:type="dxa" w:w="2520"/>
            <w:vAlign w:val="center"/>
            <w:tcMar>
              <w:top w:w="90" w:type="dxa"/>
              <w:start w:w="100" w:type="dxa"/>
              <w:bottom w:w="90" w:type="dxa"/>
              <w:end w:w="100" w:type="dxa"/>
            </w:tcMar>
            <w:shd w:fill="F2F2F2"/>
          </w:tcPr>
          <w:p>
            <w:pPr>
              <w:jc w:val="center"/>
            </w:pPr>
            <w:r>
              <w:rPr>
                <w:sz w:val="18"/>
              </w:rPr>
              <w:t>O(1)</w:t>
            </w:r>
          </w:p>
        </w:tc>
        <w:tc>
          <w:tcPr>
            <w:tcW w:type="dxa" w:w="4320"/>
            <w:vAlign w:val="center"/>
            <w:tcMar>
              <w:top w:w="90" w:type="dxa"/>
              <w:start w:w="100" w:type="dxa"/>
              <w:bottom w:w="90" w:type="dxa"/>
              <w:end w:w="100" w:type="dxa"/>
            </w:tcMar>
            <w:shd w:fill="F2F2F2"/>
          </w:tcPr>
          <w:p>
            <w:pPr>
              <w:jc w:val="center"/>
            </w:pPr>
            <w:r>
              <w:rPr>
                <w:sz w:val="18"/>
              </w:rPr>
              <w:t>Check the list length</w:t>
            </w:r>
          </w:p>
        </w:tc>
      </w:tr>
    </w:tbl>
    <w:p>
      <w:pPr>
        <w:spacing w:after="20"/>
      </w:pPr>
    </w:p>
    <w:p>
      <w:pPr>
        <w:spacing w:after="140" w:line="259" w:lineRule="auto"/>
      </w:pPr>
      <w:r>
        <w:t>Equal priorities use deterministic tie-breaking. Earlier arrival wins first, followed by earlier deadline and earlier insertion. The position map is updated after every swap so that later priority changes still address the correct index. Duplicate task IDs, missing tasks, invalid time values, and attempts to lower a key through increase_priority raise explicit errors.</w:t>
      </w:r>
    </w:p>
    <w:p>
      <w:r>
        <w:br w:type="page"/>
      </w:r>
    </w:p>
    <w:p>
      <w:pPr>
        <w:pStyle w:val="Heading1"/>
        <w:keepNext/>
      </w:pPr>
      <w:r>
        <w:t>Scheduler simulation</w:t>
      </w:r>
    </w:p>
    <w:p>
      <w:pPr>
        <w:spacing w:after="140" w:line="259" w:lineRule="auto"/>
      </w:pPr>
      <w:r>
        <w:t>The simulation is nonpreemptive. It adds every task whose arrival time is no later than the current clock, extracts the highest-priority available task, and runs that task for its full duration. If no task is ready, the clock advances to the next arrival. Sorting the arrivals costs O(m log m). Under expected constant-time dictionary access, the m insertions and extractions take expected amortized O(m log m), so the complete simulation has the same expected asymptotic bound and uses O(m) additional space.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560"/>
        <w:gridCol w:w="1560"/>
        <w:gridCol w:w="1560"/>
        <w:gridCol w:w="1560"/>
        <w:gridCol w:w="1560"/>
        <w:gridCol w:w="1560"/>
      </w:tblGrid>
      <w:tr>
        <w:trPr>
          <w:tblHeader/>
        </w:trPr>
        <w:tc>
          <w:tcPr>
            <w:tcW w:type="dxa" w:w="1224"/>
            <w:vAlign w:val="center"/>
            <w:tcMar>
              <w:top w:w="90" w:type="dxa"/>
              <w:start w:w="100" w:type="dxa"/>
              <w:bottom w:w="90" w:type="dxa"/>
              <w:end w:w="100" w:type="dxa"/>
            </w:tcMar>
            <w:shd w:fill="404040"/>
          </w:tcPr>
          <w:p>
            <w:pPr>
              <w:jc w:val="center"/>
            </w:pPr>
            <w:r>
              <w:rPr>
                <w:b/>
                <w:color w:val="FFFFFF"/>
                <w:sz w:val="18"/>
              </w:rPr>
              <w:t>Task</w:t>
            </w:r>
          </w:p>
        </w:tc>
        <w:tc>
          <w:tcPr>
            <w:tcW w:type="dxa" w:w="1440"/>
            <w:vAlign w:val="center"/>
            <w:tcMar>
              <w:top w:w="90" w:type="dxa"/>
              <w:start w:w="100" w:type="dxa"/>
              <w:bottom w:w="90" w:type="dxa"/>
              <w:end w:w="100" w:type="dxa"/>
            </w:tcMar>
            <w:shd w:fill="404040"/>
          </w:tcPr>
          <w:p>
            <w:pPr>
              <w:jc w:val="center"/>
            </w:pPr>
            <w:r>
              <w:rPr>
                <w:b/>
                <w:color w:val="FFFFFF"/>
                <w:sz w:val="18"/>
              </w:rPr>
              <w:t>Priority</w:t>
            </w:r>
          </w:p>
        </w:tc>
        <w:tc>
          <w:tcPr>
            <w:tcW w:type="dxa" w:w="1368"/>
            <w:vAlign w:val="center"/>
            <w:tcMar>
              <w:top w:w="90" w:type="dxa"/>
              <w:start w:w="100" w:type="dxa"/>
              <w:bottom w:w="90" w:type="dxa"/>
              <w:end w:w="100" w:type="dxa"/>
            </w:tcMar>
            <w:shd w:fill="404040"/>
          </w:tcPr>
          <w:p>
            <w:pPr>
              <w:jc w:val="center"/>
            </w:pPr>
            <w:r>
              <w:rPr>
                <w:b/>
                <w:color w:val="FFFFFF"/>
                <w:sz w:val="18"/>
              </w:rPr>
              <w:t>Start</w:t>
            </w:r>
          </w:p>
        </w:tc>
        <w:tc>
          <w:tcPr>
            <w:tcW w:type="dxa" w:w="1512"/>
            <w:vAlign w:val="center"/>
            <w:tcMar>
              <w:top w:w="90" w:type="dxa"/>
              <w:start w:w="100" w:type="dxa"/>
              <w:bottom w:w="90" w:type="dxa"/>
              <w:end w:w="100" w:type="dxa"/>
            </w:tcMar>
            <w:shd w:fill="404040"/>
          </w:tcPr>
          <w:p>
            <w:pPr>
              <w:jc w:val="center"/>
            </w:pPr>
            <w:r>
              <w:rPr>
                <w:b/>
                <w:color w:val="FFFFFF"/>
                <w:sz w:val="18"/>
              </w:rPr>
              <w:t>Complete</w:t>
            </w:r>
          </w:p>
        </w:tc>
        <w:tc>
          <w:tcPr>
            <w:tcW w:type="dxa" w:w="1296"/>
            <w:vAlign w:val="center"/>
            <w:tcMar>
              <w:top w:w="90" w:type="dxa"/>
              <w:start w:w="100" w:type="dxa"/>
              <w:bottom w:w="90" w:type="dxa"/>
              <w:end w:w="100" w:type="dxa"/>
            </w:tcMar>
            <w:shd w:fill="404040"/>
          </w:tcPr>
          <w:p>
            <w:pPr>
              <w:jc w:val="center"/>
            </w:pPr>
            <w:r>
              <w:rPr>
                <w:b/>
                <w:color w:val="FFFFFF"/>
                <w:sz w:val="18"/>
              </w:rPr>
              <w:t>Wait</w:t>
            </w:r>
          </w:p>
        </w:tc>
        <w:tc>
          <w:tcPr>
            <w:tcW w:type="dxa" w:w="1656"/>
            <w:vAlign w:val="center"/>
            <w:tcMar>
              <w:top w:w="90" w:type="dxa"/>
              <w:start w:w="100" w:type="dxa"/>
              <w:bottom w:w="90" w:type="dxa"/>
              <w:end w:w="100" w:type="dxa"/>
            </w:tcMar>
            <w:shd w:fill="404040"/>
          </w:tcPr>
          <w:p>
            <w:pPr>
              <w:jc w:val="center"/>
            </w:pPr>
            <w:r>
              <w:rPr>
                <w:b/>
                <w:color w:val="FFFFFF"/>
                <w:sz w:val="18"/>
              </w:rPr>
              <w:t>Tardiness</w:t>
            </w:r>
          </w:p>
        </w:tc>
      </w:tr>
      <w:tr>
        <w:tc>
          <w:tcPr>
            <w:tcW w:type="dxa" w:w="1224"/>
            <w:vAlign w:val="center"/>
            <w:tcMar>
              <w:top w:w="90" w:type="dxa"/>
              <w:start w:w="100" w:type="dxa"/>
              <w:bottom w:w="90" w:type="dxa"/>
              <w:end w:w="100" w:type="dxa"/>
            </w:tcMar>
          </w:tcPr>
          <w:p>
            <w:pPr>
              <w:jc w:val="left"/>
            </w:pPr>
            <w:r>
              <w:rPr>
                <w:sz w:val="18"/>
              </w:rPr>
              <w:t>B</w:t>
            </w:r>
          </w:p>
        </w:tc>
        <w:tc>
          <w:tcPr>
            <w:tcW w:type="dxa" w:w="1440"/>
            <w:vAlign w:val="center"/>
            <w:tcMar>
              <w:top w:w="90" w:type="dxa"/>
              <w:start w:w="100" w:type="dxa"/>
              <w:bottom w:w="90" w:type="dxa"/>
              <w:end w:w="100" w:type="dxa"/>
            </w:tcMar>
          </w:tcPr>
          <w:p>
            <w:pPr>
              <w:jc w:val="center"/>
            </w:pPr>
            <w:r>
              <w:rPr>
                <w:sz w:val="18"/>
              </w:rPr>
              <w:t>5</w:t>
            </w:r>
          </w:p>
        </w:tc>
        <w:tc>
          <w:tcPr>
            <w:tcW w:type="dxa" w:w="1368"/>
            <w:vAlign w:val="center"/>
            <w:tcMar>
              <w:top w:w="90" w:type="dxa"/>
              <w:start w:w="100" w:type="dxa"/>
              <w:bottom w:w="90" w:type="dxa"/>
              <w:end w:w="100" w:type="dxa"/>
            </w:tcMar>
          </w:tcPr>
          <w:p>
            <w:pPr>
              <w:jc w:val="center"/>
            </w:pPr>
            <w:r>
              <w:rPr>
                <w:sz w:val="18"/>
              </w:rPr>
              <w:t>0</w:t>
            </w:r>
          </w:p>
        </w:tc>
        <w:tc>
          <w:tcPr>
            <w:tcW w:type="dxa" w:w="1512"/>
            <w:vAlign w:val="center"/>
            <w:tcMar>
              <w:top w:w="90" w:type="dxa"/>
              <w:start w:w="100" w:type="dxa"/>
              <w:bottom w:w="90" w:type="dxa"/>
              <w:end w:w="100" w:type="dxa"/>
            </w:tcMar>
          </w:tcPr>
          <w:p>
            <w:pPr>
              <w:jc w:val="center"/>
            </w:pPr>
            <w:r>
              <w:rPr>
                <w:sz w:val="18"/>
              </w:rPr>
              <w:t>1</w:t>
            </w:r>
          </w:p>
        </w:tc>
        <w:tc>
          <w:tcPr>
            <w:tcW w:type="dxa" w:w="1296"/>
            <w:vAlign w:val="center"/>
            <w:tcMar>
              <w:top w:w="90" w:type="dxa"/>
              <w:start w:w="100" w:type="dxa"/>
              <w:bottom w:w="90" w:type="dxa"/>
              <w:end w:w="100" w:type="dxa"/>
            </w:tcMar>
          </w:tcPr>
          <w:p>
            <w:pPr>
              <w:jc w:val="center"/>
            </w:pPr>
            <w:r>
              <w:rPr>
                <w:sz w:val="18"/>
              </w:rPr>
              <w:t>0</w:t>
            </w:r>
          </w:p>
        </w:tc>
        <w:tc>
          <w:tcPr>
            <w:tcW w:type="dxa" w:w="1656"/>
            <w:vAlign w:val="center"/>
            <w:tcMar>
              <w:top w:w="90" w:type="dxa"/>
              <w:start w:w="100" w:type="dxa"/>
              <w:bottom w:w="90" w:type="dxa"/>
              <w:end w:w="100" w:type="dxa"/>
            </w:tcMar>
          </w:tcPr>
          <w:p>
            <w:pPr>
              <w:jc w:val="center"/>
            </w:pPr>
            <w:r>
              <w:rPr>
                <w:sz w:val="18"/>
              </w:rPr>
              <w:t>0</w:t>
            </w:r>
          </w:p>
        </w:tc>
      </w:tr>
      <w:tr>
        <w:tc>
          <w:tcPr>
            <w:tcW w:type="dxa" w:w="1224"/>
            <w:vAlign w:val="center"/>
            <w:tcMar>
              <w:top w:w="90" w:type="dxa"/>
              <w:start w:w="100" w:type="dxa"/>
              <w:bottom w:w="90" w:type="dxa"/>
              <w:end w:w="100" w:type="dxa"/>
            </w:tcMar>
            <w:shd w:fill="F2F2F2"/>
          </w:tcPr>
          <w:p>
            <w:pPr>
              <w:jc w:val="left"/>
            </w:pPr>
            <w:r>
              <w:rPr>
                <w:sz w:val="18"/>
              </w:rPr>
              <w:t>C</w:t>
            </w:r>
          </w:p>
        </w:tc>
        <w:tc>
          <w:tcPr>
            <w:tcW w:type="dxa" w:w="1440"/>
            <w:vAlign w:val="center"/>
            <w:tcMar>
              <w:top w:w="90" w:type="dxa"/>
              <w:start w:w="100" w:type="dxa"/>
              <w:bottom w:w="90" w:type="dxa"/>
              <w:end w:w="100" w:type="dxa"/>
            </w:tcMar>
            <w:shd w:fill="F2F2F2"/>
          </w:tcPr>
          <w:p>
            <w:pPr>
              <w:jc w:val="center"/>
            </w:pPr>
            <w:r>
              <w:rPr>
                <w:sz w:val="18"/>
              </w:rPr>
              <w:t>4</w:t>
            </w:r>
          </w:p>
        </w:tc>
        <w:tc>
          <w:tcPr>
            <w:tcW w:type="dxa" w:w="1368"/>
            <w:vAlign w:val="center"/>
            <w:tcMar>
              <w:top w:w="90" w:type="dxa"/>
              <w:start w:w="100" w:type="dxa"/>
              <w:bottom w:w="90" w:type="dxa"/>
              <w:end w:w="100" w:type="dxa"/>
            </w:tcMar>
            <w:shd w:fill="F2F2F2"/>
          </w:tcPr>
          <w:p>
            <w:pPr>
              <w:jc w:val="center"/>
            </w:pPr>
            <w:r>
              <w:rPr>
                <w:sz w:val="18"/>
              </w:rPr>
              <w:t>1</w:t>
            </w:r>
          </w:p>
        </w:tc>
        <w:tc>
          <w:tcPr>
            <w:tcW w:type="dxa" w:w="1512"/>
            <w:vAlign w:val="center"/>
            <w:tcMar>
              <w:top w:w="90" w:type="dxa"/>
              <w:start w:w="100" w:type="dxa"/>
              <w:bottom w:w="90" w:type="dxa"/>
              <w:end w:w="100" w:type="dxa"/>
            </w:tcMar>
            <w:shd w:fill="F2F2F2"/>
          </w:tcPr>
          <w:p>
            <w:pPr>
              <w:jc w:val="center"/>
            </w:pPr>
            <w:r>
              <w:rPr>
                <w:sz w:val="18"/>
              </w:rPr>
              <w:t>3</w:t>
            </w:r>
          </w:p>
        </w:tc>
        <w:tc>
          <w:tcPr>
            <w:tcW w:type="dxa" w:w="1296"/>
            <w:vAlign w:val="center"/>
            <w:tcMar>
              <w:top w:w="90" w:type="dxa"/>
              <w:start w:w="100" w:type="dxa"/>
              <w:bottom w:w="90" w:type="dxa"/>
              <w:end w:w="100" w:type="dxa"/>
            </w:tcMar>
            <w:shd w:fill="F2F2F2"/>
          </w:tcPr>
          <w:p>
            <w:pPr>
              <w:jc w:val="center"/>
            </w:pPr>
            <w:r>
              <w:rPr>
                <w:sz w:val="18"/>
              </w:rPr>
              <w:t>0</w:t>
            </w:r>
          </w:p>
        </w:tc>
        <w:tc>
          <w:tcPr>
            <w:tcW w:type="dxa" w:w="1656"/>
            <w:vAlign w:val="center"/>
            <w:tcMar>
              <w:top w:w="90" w:type="dxa"/>
              <w:start w:w="100" w:type="dxa"/>
              <w:bottom w:w="90" w:type="dxa"/>
              <w:end w:w="100" w:type="dxa"/>
            </w:tcMar>
            <w:shd w:fill="F2F2F2"/>
          </w:tcPr>
          <w:p>
            <w:pPr>
              <w:jc w:val="center"/>
            </w:pPr>
            <w:r>
              <w:rPr>
                <w:sz w:val="18"/>
              </w:rPr>
              <w:t>0</w:t>
            </w:r>
          </w:p>
        </w:tc>
      </w:tr>
      <w:tr>
        <w:tc>
          <w:tcPr>
            <w:tcW w:type="dxa" w:w="1224"/>
            <w:vAlign w:val="center"/>
            <w:tcMar>
              <w:top w:w="90" w:type="dxa"/>
              <w:start w:w="100" w:type="dxa"/>
              <w:bottom w:w="90" w:type="dxa"/>
              <w:end w:w="100" w:type="dxa"/>
            </w:tcMar>
          </w:tcPr>
          <w:p>
            <w:pPr>
              <w:jc w:val="left"/>
            </w:pPr>
            <w:r>
              <w:rPr>
                <w:sz w:val="18"/>
              </w:rPr>
              <w:t>D</w:t>
            </w:r>
          </w:p>
        </w:tc>
        <w:tc>
          <w:tcPr>
            <w:tcW w:type="dxa" w:w="1440"/>
            <w:vAlign w:val="center"/>
            <w:tcMar>
              <w:top w:w="90" w:type="dxa"/>
              <w:start w:w="100" w:type="dxa"/>
              <w:bottom w:w="90" w:type="dxa"/>
              <w:end w:w="100" w:type="dxa"/>
            </w:tcMar>
          </w:tcPr>
          <w:p>
            <w:pPr>
              <w:jc w:val="center"/>
            </w:pPr>
            <w:r>
              <w:rPr>
                <w:sz w:val="18"/>
              </w:rPr>
              <w:t>5</w:t>
            </w:r>
          </w:p>
        </w:tc>
        <w:tc>
          <w:tcPr>
            <w:tcW w:type="dxa" w:w="1368"/>
            <w:vAlign w:val="center"/>
            <w:tcMar>
              <w:top w:w="90" w:type="dxa"/>
              <w:start w:w="100" w:type="dxa"/>
              <w:bottom w:w="90" w:type="dxa"/>
              <w:end w:w="100" w:type="dxa"/>
            </w:tcMar>
          </w:tcPr>
          <w:p>
            <w:pPr>
              <w:jc w:val="center"/>
            </w:pPr>
            <w:r>
              <w:rPr>
                <w:sz w:val="18"/>
              </w:rPr>
              <w:t>3</w:t>
            </w:r>
          </w:p>
        </w:tc>
        <w:tc>
          <w:tcPr>
            <w:tcW w:type="dxa" w:w="1512"/>
            <w:vAlign w:val="center"/>
            <w:tcMar>
              <w:top w:w="90" w:type="dxa"/>
              <w:start w:w="100" w:type="dxa"/>
              <w:bottom w:w="90" w:type="dxa"/>
              <w:end w:w="100" w:type="dxa"/>
            </w:tcMar>
          </w:tcPr>
          <w:p>
            <w:pPr>
              <w:jc w:val="center"/>
            </w:pPr>
            <w:r>
              <w:rPr>
                <w:sz w:val="18"/>
              </w:rPr>
              <w:t>4</w:t>
            </w:r>
          </w:p>
        </w:tc>
        <w:tc>
          <w:tcPr>
            <w:tcW w:type="dxa" w:w="1296"/>
            <w:vAlign w:val="center"/>
            <w:tcMar>
              <w:top w:w="90" w:type="dxa"/>
              <w:start w:w="100" w:type="dxa"/>
              <w:bottom w:w="90" w:type="dxa"/>
              <w:end w:w="100" w:type="dxa"/>
            </w:tcMar>
          </w:tcPr>
          <w:p>
            <w:pPr>
              <w:jc w:val="center"/>
            </w:pPr>
            <w:r>
              <w:rPr>
                <w:sz w:val="18"/>
              </w:rPr>
              <w:t>0</w:t>
            </w:r>
          </w:p>
        </w:tc>
        <w:tc>
          <w:tcPr>
            <w:tcW w:type="dxa" w:w="1656"/>
            <w:vAlign w:val="center"/>
            <w:tcMar>
              <w:top w:w="90" w:type="dxa"/>
              <w:start w:w="100" w:type="dxa"/>
              <w:bottom w:w="90" w:type="dxa"/>
              <w:end w:w="100" w:type="dxa"/>
            </w:tcMar>
          </w:tcPr>
          <w:p>
            <w:pPr>
              <w:jc w:val="center"/>
            </w:pPr>
            <w:r>
              <w:rPr>
                <w:sz w:val="18"/>
              </w:rPr>
              <w:t>0</w:t>
            </w:r>
          </w:p>
        </w:tc>
      </w:tr>
      <w:tr>
        <w:tc>
          <w:tcPr>
            <w:tcW w:type="dxa" w:w="1224"/>
            <w:vAlign w:val="center"/>
            <w:tcMar>
              <w:top w:w="90" w:type="dxa"/>
              <w:start w:w="100" w:type="dxa"/>
              <w:bottom w:w="90" w:type="dxa"/>
              <w:end w:w="100" w:type="dxa"/>
            </w:tcMar>
            <w:shd w:fill="F2F2F2"/>
          </w:tcPr>
          <w:p>
            <w:pPr>
              <w:jc w:val="left"/>
            </w:pPr>
            <w:r>
              <w:rPr>
                <w:sz w:val="18"/>
              </w:rPr>
              <w:t>A</w:t>
            </w:r>
          </w:p>
        </w:tc>
        <w:tc>
          <w:tcPr>
            <w:tcW w:type="dxa" w:w="1440"/>
            <w:vAlign w:val="center"/>
            <w:tcMar>
              <w:top w:w="90" w:type="dxa"/>
              <w:start w:w="100" w:type="dxa"/>
              <w:bottom w:w="90" w:type="dxa"/>
              <w:end w:w="100" w:type="dxa"/>
            </w:tcMar>
            <w:shd w:fill="F2F2F2"/>
          </w:tcPr>
          <w:p>
            <w:pPr>
              <w:jc w:val="center"/>
            </w:pPr>
            <w:r>
              <w:rPr>
                <w:sz w:val="18"/>
              </w:rPr>
              <w:t>3</w:t>
            </w:r>
          </w:p>
        </w:tc>
        <w:tc>
          <w:tcPr>
            <w:tcW w:type="dxa" w:w="1368"/>
            <w:vAlign w:val="center"/>
            <w:tcMar>
              <w:top w:w="90" w:type="dxa"/>
              <w:start w:w="100" w:type="dxa"/>
              <w:bottom w:w="90" w:type="dxa"/>
              <w:end w:w="100" w:type="dxa"/>
            </w:tcMar>
            <w:shd w:fill="F2F2F2"/>
          </w:tcPr>
          <w:p>
            <w:pPr>
              <w:jc w:val="center"/>
            </w:pPr>
            <w:r>
              <w:rPr>
                <w:sz w:val="18"/>
              </w:rPr>
              <w:t>4</w:t>
            </w:r>
          </w:p>
        </w:tc>
        <w:tc>
          <w:tcPr>
            <w:tcW w:type="dxa" w:w="1512"/>
            <w:vAlign w:val="center"/>
            <w:tcMar>
              <w:top w:w="90" w:type="dxa"/>
              <w:start w:w="100" w:type="dxa"/>
              <w:bottom w:w="90" w:type="dxa"/>
              <w:end w:w="100" w:type="dxa"/>
            </w:tcMar>
            <w:shd w:fill="F2F2F2"/>
          </w:tcPr>
          <w:p>
            <w:pPr>
              <w:jc w:val="center"/>
            </w:pPr>
            <w:r>
              <w:rPr>
                <w:sz w:val="18"/>
              </w:rPr>
              <w:t>6</w:t>
            </w:r>
          </w:p>
        </w:tc>
        <w:tc>
          <w:tcPr>
            <w:tcW w:type="dxa" w:w="1296"/>
            <w:vAlign w:val="center"/>
            <w:tcMar>
              <w:top w:w="90" w:type="dxa"/>
              <w:start w:w="100" w:type="dxa"/>
              <w:bottom w:w="90" w:type="dxa"/>
              <w:end w:w="100" w:type="dxa"/>
            </w:tcMar>
            <w:shd w:fill="F2F2F2"/>
          </w:tcPr>
          <w:p>
            <w:pPr>
              <w:jc w:val="center"/>
            </w:pPr>
            <w:r>
              <w:rPr>
                <w:sz w:val="18"/>
              </w:rPr>
              <w:t>4</w:t>
            </w:r>
          </w:p>
        </w:tc>
        <w:tc>
          <w:tcPr>
            <w:tcW w:type="dxa" w:w="1656"/>
            <w:vAlign w:val="center"/>
            <w:tcMar>
              <w:top w:w="90" w:type="dxa"/>
              <w:start w:w="100" w:type="dxa"/>
              <w:bottom w:w="90" w:type="dxa"/>
              <w:end w:w="100" w:type="dxa"/>
            </w:tcMar>
            <w:shd w:fill="F2F2F2"/>
          </w:tcPr>
          <w:p>
            <w:pPr>
              <w:jc w:val="center"/>
            </w:pPr>
            <w:r>
              <w:rPr>
                <w:sz w:val="18"/>
              </w:rPr>
              <w:t>1</w:t>
            </w:r>
          </w:p>
        </w:tc>
      </w:tr>
    </w:tbl>
    <w:p>
      <w:pPr>
        <w:spacing w:after="20"/>
      </w:pPr>
    </w:p>
    <w:p>
      <w:pPr>
        <w:spacing w:after="140" w:line="259" w:lineRule="auto"/>
      </w:pPr>
      <w:r>
        <w:t>The execution order was B, C, D, A. Tasks B, C, and D started immediately when selected and met their deadlines. Task A waited four time units and finished one unit after its deadline because the policy favors higher priority over earliest deadline. This result shows the intended priority behavior and one practical limitation. A production scheduler could combine priority with deadline aging if missed deadlines mattered more than strict priority.</w:t>
      </w:r>
    </w:p>
    <w:p>
      <w:pPr>
        <w:pStyle w:val="Heading1"/>
        <w:keepNext/>
      </w:pPr>
      <w:r>
        <w:t>Verification and limitations</w:t>
      </w:r>
    </w:p>
    <w:p>
      <w:pPr>
        <w:spacing w:after="140" w:line="259" w:lineRule="auto"/>
      </w:pPr>
      <w:r>
        <w:t>Seven automated tests passed. They checked max-heap construction, empty and single-element lists, duplicates, negative values, 200 seeded random list sizes, priority tie-breaking, priority increases, error handling, and the scheduler's exact order, waiting times, and tardiness. The benchmark also checked every output against Python's sorted result.</w:t>
      </w:r>
    </w:p>
    <w:p>
      <w:pPr>
        <w:spacing w:after="140" w:line="259" w:lineRule="auto"/>
      </w:pPr>
      <w:r>
        <w:t>Timing results can change with the Python version, operating-system activity, processor, and implementation details. The task simulation is intentionally small and nonpreemptive. It demonstrates heap operations and scheduling consequences, but it does not model task preemption, multiple processors, priority aging, or uncertain execution times.</w:t>
      </w:r>
    </w:p>
    <w:p>
      <w:pPr>
        <w:pStyle w:val="Heading1"/>
        <w:keepNext/>
      </w:pPr>
      <w:r>
        <w:t>References</w:t>
      </w:r>
    </w:p>
    <w:p>
      <w:pPr>
        <w:spacing w:after="140" w:line="259" w:lineRule="auto"/>
      </w:pPr>
      <w:r>
        <w:t>Cormen, T. H., Leiserson, C. E., Rivest, R. L., &amp; Stein, C. (2022). Introduction to algorithms (4th ed.). MIT Press.</w:t>
      </w:r>
    </w:p>
    <w:p>
      <w:pPr>
        <w:spacing w:after="140" w:line="259" w:lineRule="auto"/>
      </w:pPr>
      <w:r>
        <w:t>Python Software Foundation. (2026). time.perf_counter_ns. Python 3.11 documentation. https://docs.python.org/3.11/library/time.html#time.perf_counter_ns</w:t>
      </w:r>
    </w:p>
    <w:p>
      <w:pPr>
        <w:spacing w:after="140" w:line="259" w:lineRule="auto"/>
      </w:pPr>
      <w:r>
        <w:t>OpenAI. (2026). Codex [Large language model; assisted with source organization and drafting]. https://openai.com/codex/</w:t>
      </w:r>
    </w:p>
    <w:sectPr w:rsidR="00FC693F" w:rsidRPr="0006063C" w:rsidSect="00034616">
      <w:footerReference w:type="default" r:id="rId9"/>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40"/>
    </w:pPr>
    <w:rPr>
      <w:rFonts w:ascii="Times New Roman" w:hAnsi="Times New Roman" w:eastAsia="Times New Roman" w:cs="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Heap Data Structures Implementation Analysis and Applications</dc:title>
  <dc:subject>MSCS 532 Assignment 4</dc:subject>
  <dc:creator>Haris Asir Hasan</dc:creator>
  <cp:keywords/>
  <dc:description/>
  <cp:lastModifiedBy/>
  <cp:revision>1</cp:revision>
  <dcterms:created xsi:type="dcterms:W3CDTF">2026-10-04T00:00:00Z</dcterms:created>
  <dcterms:modified xsi:type="dcterms:W3CDTF">2026-10-04T00:00:00Z</dcterms:modified>
  <cp:category/>
</cp:coreProperties>
</file>