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Arial" w:hAnsi="Arial" w:eastAsia="PingFang SC"/>
          <w:b/>
          <w:color w:val="000000"/>
          <w:sz w:val="46"/>
        </w:rPr>
        <w:t>三数据集三路检索 Chunk 结果明细</w:t>
      </w:r>
    </w:p>
    <w:p>
      <w:pPr>
        <w:spacing w:before="0" w:after="200" w:line="276" w:lineRule="auto"/>
      </w:pPr>
      <w:r>
        <w:rPr>
          <w:rFonts w:ascii="Arial" w:hAnsi="Arial" w:eastAsia="PingFang SC"/>
          <w:b w:val="0"/>
          <w:color w:val="44546A"/>
          <w:sz w:val="22"/>
        </w:rPr>
        <w:t>语义检索、维度检索与融合检索的 Top10 实际返回结果</w:t>
      </w:r>
    </w:p>
    <w:p>
      <w:pPr>
        <w:spacing w:before="0" w:after="160" w:line="288" w:lineRule="auto"/>
      </w:pPr>
      <w:r>
        <w:rPr>
          <w:rFonts w:ascii="Arial" w:hAnsi="Arial" w:eastAsia="PingFang SC"/>
          <w:b w:val="0"/>
          <w:color w:val="000000"/>
          <w:sz w:val="20"/>
        </w:rPr>
        <w:t>本报告按问题展示三套数据集的三路检索明细。每套数据列出一个实际问题及三路各自 Top10 的 chunk，包含排名、原始分数、chunk ID、来源、正文摘录和 gold 命中状态。服务器数据包另存全部问题的逐路结果及完整 chunk 正文。</w:t>
      </w:r>
    </w:p>
    <w:p>
      <w:pPr>
        <w:spacing w:before="0" w:after="160" w:line="276" w:lineRule="auto"/>
      </w:pPr>
      <w:r>
        <w:rPr>
          <w:rFonts w:ascii="Arial" w:hAnsi="Arial" w:eastAsia="PingFang SC"/>
          <w:b w:val="0"/>
          <w:color w:val="000000"/>
          <w:sz w:val="18"/>
        </w:rPr>
        <w:t>版本范围：景区样例展示优化后，完整数据同时保存优化前和优化后；DuRetrieval 使用当前可恢复的完整三路归档；db_qa 使用当前全流程结果。</w:t>
      </w:r>
    </w:p>
    <w:tbl>
      <w:tblPr>
        <w:tblW w:type="auto" w:w="0"/>
        <w:jc w:val="left"/>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835"/>
        <w:gridCol w:w="3515"/>
        <w:gridCol w:w="3685"/>
        <w:gridCol w:w="5386"/>
      </w:tblGrid>
      <w:tr>
        <w:trPr>
          <w:tblHeader w:val="true"/>
        </w:trPr>
        <w:tc>
          <w:tcPr>
            <w:tcW w:type="dxa" w:w="2835"/>
            <w:vAlign w:val="center"/>
            <w:tcMar>
              <w:top w:w="70" w:type="dxa"/>
              <w:start w:w="85" w:type="dxa"/>
              <w:bottom w:w="70" w:type="dxa"/>
              <w:end w:w="85" w:type="dxa"/>
            </w:tcMar>
            <w:shd w:fill="24476B" w:val="clear"/>
          </w:tcPr>
          <w:p>
            <w:pPr>
              <w:spacing w:before="0" w:after="0" w:line="259" w:lineRule="auto"/>
              <w:jc w:val="center"/>
            </w:pPr>
            <w:r/>
            <w:r>
              <w:rPr>
                <w:rFonts w:ascii="Arial" w:hAnsi="Arial" w:eastAsia="PingFang SC"/>
                <w:b/>
                <w:color w:val="FFFFFF"/>
                <w:sz w:val="17"/>
              </w:rPr>
              <w:t>数据集</w:t>
            </w:r>
          </w:p>
        </w:tc>
        <w:tc>
          <w:tcPr>
            <w:tcW w:type="dxa" w:w="3515"/>
            <w:vAlign w:val="center"/>
            <w:tcMar>
              <w:top w:w="70" w:type="dxa"/>
              <w:start w:w="85" w:type="dxa"/>
              <w:bottom w:w="70" w:type="dxa"/>
              <w:end w:w="85" w:type="dxa"/>
            </w:tcMar>
            <w:shd w:fill="24476B" w:val="clear"/>
          </w:tcPr>
          <w:p>
            <w:pPr>
              <w:spacing w:before="0" w:after="0" w:line="259" w:lineRule="auto"/>
              <w:jc w:val="center"/>
            </w:pPr>
            <w:r/>
            <w:r>
              <w:rPr>
                <w:rFonts w:ascii="Arial" w:hAnsi="Arial" w:eastAsia="PingFang SC"/>
                <w:b/>
                <w:color w:val="FFFFFF"/>
                <w:sz w:val="17"/>
              </w:rPr>
              <w:t>问题数</w:t>
            </w:r>
          </w:p>
        </w:tc>
        <w:tc>
          <w:tcPr>
            <w:tcW w:type="dxa" w:w="3685"/>
            <w:vAlign w:val="center"/>
            <w:tcMar>
              <w:top w:w="70" w:type="dxa"/>
              <w:start w:w="85" w:type="dxa"/>
              <w:bottom w:w="70" w:type="dxa"/>
              <w:end w:w="85" w:type="dxa"/>
            </w:tcMar>
            <w:shd w:fill="24476B" w:val="clear"/>
          </w:tcPr>
          <w:p>
            <w:pPr>
              <w:spacing w:before="0" w:after="0" w:line="259" w:lineRule="auto"/>
              <w:jc w:val="center"/>
            </w:pPr>
            <w:r/>
            <w:r>
              <w:rPr>
                <w:rFonts w:ascii="Arial" w:hAnsi="Arial" w:eastAsia="PingFang SC"/>
                <w:b/>
                <w:color w:val="FFFFFF"/>
                <w:sz w:val="17"/>
              </w:rPr>
              <w:t>文中样例版本</w:t>
            </w:r>
          </w:p>
        </w:tc>
        <w:tc>
          <w:tcPr>
            <w:tcW w:type="dxa" w:w="5386"/>
            <w:vAlign w:val="center"/>
            <w:tcMar>
              <w:top w:w="70" w:type="dxa"/>
              <w:start w:w="85" w:type="dxa"/>
              <w:bottom w:w="70" w:type="dxa"/>
              <w:end w:w="85" w:type="dxa"/>
            </w:tcMar>
            <w:shd w:fill="24476B" w:val="clear"/>
          </w:tcPr>
          <w:p>
            <w:pPr>
              <w:spacing w:before="0" w:after="0" w:line="259" w:lineRule="auto"/>
              <w:jc w:val="center"/>
            </w:pPr>
            <w:r/>
            <w:r>
              <w:rPr>
                <w:rFonts w:ascii="Arial" w:hAnsi="Arial" w:eastAsia="PingFang SC"/>
                <w:b/>
                <w:color w:val="FFFFFF"/>
                <w:sz w:val="17"/>
              </w:rPr>
              <w:t>完整包中的 Top10 chunk 数</w:t>
            </w:r>
          </w:p>
        </w:tc>
      </w:tr>
      <w:tr>
        <w:trPr>
          <w:cantSplit/>
        </w:trPr>
        <w:tc>
          <w:tcPr>
            <w:tcW w:type="dxa" w:w="2835"/>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7"/>
              </w:rPr>
              <w:t>景区数据集</w:t>
            </w:r>
          </w:p>
        </w:tc>
        <w:tc>
          <w:tcPr>
            <w:tcW w:type="dxa" w:w="3515"/>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7"/>
              </w:rPr>
              <w:t>优化前 402 问；优化后 402 问</w:t>
            </w:r>
          </w:p>
        </w:tc>
        <w:tc>
          <w:tcPr>
            <w:tcW w:type="dxa" w:w="3685"/>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7"/>
              </w:rPr>
              <w:t>优化后样例</w:t>
            </w:r>
          </w:p>
        </w:tc>
        <w:tc>
          <w:tcPr>
            <w:tcW w:type="dxa" w:w="538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7"/>
              </w:rPr>
              <w:t>22,387</w:t>
            </w:r>
          </w:p>
        </w:tc>
      </w:tr>
      <w:tr>
        <w:trPr>
          <w:cantSplit/>
        </w:trPr>
        <w:tc>
          <w:tcPr>
            <w:tcW w:type="dxa" w:w="2835"/>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7"/>
              </w:rPr>
              <w:t>DuRetrieval-MTEB dev</w:t>
            </w:r>
          </w:p>
        </w:tc>
        <w:tc>
          <w:tcPr>
            <w:tcW w:type="dxa" w:w="3515"/>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7"/>
              </w:rPr>
              <w:t>2,000 问</w:t>
            </w:r>
          </w:p>
        </w:tc>
        <w:tc>
          <w:tcPr>
            <w:tcW w:type="dxa" w:w="3685"/>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7"/>
              </w:rPr>
              <w:t>完整三路归档</w:t>
            </w:r>
          </w:p>
        </w:tc>
        <w:tc>
          <w:tcPr>
            <w:tcW w:type="dxa" w:w="538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7"/>
              </w:rPr>
              <w:t>59,661</w:t>
            </w:r>
          </w:p>
        </w:tc>
      </w:tr>
      <w:tr>
        <w:trPr>
          <w:cantSplit/>
        </w:trPr>
        <w:tc>
          <w:tcPr>
            <w:tcW w:type="dxa" w:w="2835"/>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7"/>
              </w:rPr>
              <w:t>db_qa</w:t>
            </w:r>
          </w:p>
        </w:tc>
        <w:tc>
          <w:tcPr>
            <w:tcW w:type="dxa" w:w="3515"/>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7"/>
              </w:rPr>
              <w:t>3,199 问</w:t>
            </w:r>
          </w:p>
        </w:tc>
        <w:tc>
          <w:tcPr>
            <w:tcW w:type="dxa" w:w="3685"/>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7"/>
              </w:rPr>
              <w:t>当前全流程</w:t>
            </w:r>
          </w:p>
        </w:tc>
        <w:tc>
          <w:tcPr>
            <w:tcW w:type="dxa" w:w="538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7"/>
              </w:rPr>
              <w:t>95,347</w:t>
            </w:r>
          </w:p>
        </w:tc>
      </w:tr>
    </w:tbl>
    <w:p>
      <w:pPr>
        <w:spacing w:before="160" w:after="60" w:line="276" w:lineRule="auto"/>
      </w:pPr>
      <w:r>
        <w:rPr>
          <w:rFonts w:ascii="Arial" w:hAnsi="Arial" w:eastAsia="PingFang SC"/>
          <w:b w:val="0"/>
          <w:color w:val="000000"/>
          <w:sz w:val="17"/>
        </w:rPr>
        <w:t>完整结果目录：/home/humq/rag_core_experiments/all_datasets_top10_retrieval_results/three_route_chunk_details</w:t>
      </w:r>
    </w:p>
    <w:p>
      <w:pPr>
        <w:spacing w:before="0" w:after="60" w:line="276" w:lineRule="auto"/>
      </w:pPr>
      <w:r>
        <w:rPr>
          <w:rFonts w:ascii="Arial" w:hAnsi="Arial" w:eastAsia="PingFang SC"/>
          <w:b w:val="0"/>
          <w:color w:val="000000"/>
          <w:sz w:val="17"/>
        </w:rPr>
        <w:t>完整 JSONL 按数据集和版本分别压缩保存；每行是一个问题，routes.semantic、routes.dimension、routes.fusion 分别保存实际返回的 chunk。chunk 正文在 Word 中截取展示，完整正文见对应 JSONL。</w:t>
      </w:r>
    </w:p>
    <w:p>
      <w:pPr>
        <w:spacing w:before="0" w:after="40" w:line="276" w:lineRule="auto"/>
      </w:pPr>
      <w:r>
        <w:rPr>
          <w:rFonts w:ascii="Arial" w:hAnsi="Arial" w:eastAsia="PingFang SC"/>
          <w:b w:val="0"/>
          <w:color w:val="000000"/>
          <w:sz w:val="17"/>
        </w:rPr>
        <w:t>DuRetrieval 的完整三路源评测为 evaluation_query_facet_evidence_v2_full_gpu0_20260928；源版本及各通道实际记录数见服务器 manifest.json。</w:t>
      </w:r>
    </w:p>
    <w:p>
      <w:r>
        <w:br w:type="page"/>
      </w:r>
    </w:p>
    <w:p>
      <w:pPr>
        <w:pStyle w:val="Heading1"/>
      </w:pPr>
      <w:r>
        <w:t>景区数据集</w:t>
      </w:r>
    </w:p>
    <w:p>
      <w:pPr>
        <w:spacing w:before="0" w:after="80" w:line="276" w:lineRule="auto"/>
      </w:pPr>
      <w:r>
        <w:rPr>
          <w:rFonts w:ascii="Arial" w:hAnsi="Arial" w:eastAsia="PingFang SC"/>
          <w:b w:val="0"/>
          <w:color w:val="44546A"/>
          <w:sz w:val="17"/>
        </w:rPr>
        <w:t>展示版本：优化后｜问题 ID：1｜实际返回：语义检索 10 条，维度检索 10 条，融合检索 10 条</w:t>
      </w:r>
    </w:p>
    <w:p>
      <w:pPr>
        <w:pStyle w:val="Heading2"/>
      </w:pPr>
      <w:r>
        <w:t>问题</w:t>
      </w:r>
    </w:p>
    <w:p>
      <w:pPr>
        <w:spacing w:before="0" w:after="140" w:line="276" w:lineRule="auto"/>
      </w:pPr>
      <w:r>
        <w:rPr>
          <w:rFonts w:ascii="Arial" w:hAnsi="Arial" w:eastAsia="PingFang SC"/>
          <w:b w:val="0"/>
          <w:color w:val="000000"/>
          <w:sz w:val="20"/>
        </w:rPr>
        <w:t>长陵和定陵分别是哪位皇帝的陵寝，分别建于哪个朝代？</w:t>
      </w:r>
    </w:p>
    <w:tbl>
      <w:tblPr>
        <w:tblW w:type="auto" w:w="0"/>
        <w:jc w:val="left"/>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276"/>
        <w:gridCol w:w="652"/>
        <w:gridCol w:w="1049"/>
        <w:gridCol w:w="3203"/>
        <w:gridCol w:w="8334"/>
        <w:gridCol w:w="907"/>
      </w:tblGrid>
      <w:tr>
        <w:trPr>
          <w:tblHeader w:val="true"/>
        </w:trPr>
        <w:tc>
          <w:tcPr>
            <w:tcW w:type="dxa" w:w="1276"/>
            <w:vAlign w:val="center"/>
            <w:tcMar>
              <w:top w:w="70" w:type="dxa"/>
              <w:start w:w="85" w:type="dxa"/>
              <w:bottom w:w="70" w:type="dxa"/>
              <w:end w:w="85" w:type="dxa"/>
            </w:tcMar>
            <w:shd w:fill="24476B" w:val="clear"/>
          </w:tcPr>
          <w:p>
            <w:pPr>
              <w:spacing w:before="0" w:after="0" w:line="259" w:lineRule="auto"/>
              <w:jc w:val="center"/>
            </w:pPr>
            <w:r/>
            <w:r>
              <w:rPr>
                <w:rFonts w:ascii="Arial" w:hAnsi="Arial" w:eastAsia="PingFang SC"/>
                <w:b/>
                <w:color w:val="FFFFFF"/>
                <w:sz w:val="16"/>
              </w:rPr>
              <w:t>检索通道</w:t>
            </w:r>
          </w:p>
        </w:tc>
        <w:tc>
          <w:tcPr>
            <w:tcW w:type="dxa" w:w="652"/>
            <w:vAlign w:val="center"/>
            <w:tcMar>
              <w:top w:w="70" w:type="dxa"/>
              <w:start w:w="85" w:type="dxa"/>
              <w:bottom w:w="70" w:type="dxa"/>
              <w:end w:w="85" w:type="dxa"/>
            </w:tcMar>
            <w:shd w:fill="24476B" w:val="clear"/>
          </w:tcPr>
          <w:p>
            <w:pPr>
              <w:spacing w:before="0" w:after="0" w:line="259" w:lineRule="auto"/>
              <w:jc w:val="center"/>
            </w:pPr>
            <w:r/>
            <w:r>
              <w:rPr>
                <w:rFonts w:ascii="Arial" w:hAnsi="Arial" w:eastAsia="PingFang SC"/>
                <w:b/>
                <w:color w:val="FFFFFF"/>
                <w:sz w:val="16"/>
              </w:rPr>
              <w:t>排名</w:t>
            </w:r>
          </w:p>
        </w:tc>
        <w:tc>
          <w:tcPr>
            <w:tcW w:type="dxa" w:w="1049"/>
            <w:vAlign w:val="center"/>
            <w:tcMar>
              <w:top w:w="70" w:type="dxa"/>
              <w:start w:w="85" w:type="dxa"/>
              <w:bottom w:w="70" w:type="dxa"/>
              <w:end w:w="85" w:type="dxa"/>
            </w:tcMar>
            <w:shd w:fill="24476B" w:val="clear"/>
          </w:tcPr>
          <w:p>
            <w:pPr>
              <w:spacing w:before="0" w:after="0" w:line="259" w:lineRule="auto"/>
              <w:jc w:val="center"/>
            </w:pPr>
            <w:r/>
            <w:r>
              <w:rPr>
                <w:rFonts w:ascii="Arial" w:hAnsi="Arial" w:eastAsia="PingFang SC"/>
                <w:b/>
                <w:color w:val="FFFFFF"/>
                <w:sz w:val="16"/>
              </w:rPr>
              <w:t>分数</w:t>
            </w:r>
          </w:p>
        </w:tc>
        <w:tc>
          <w:tcPr>
            <w:tcW w:type="dxa" w:w="3203"/>
            <w:vAlign w:val="center"/>
            <w:tcMar>
              <w:top w:w="70" w:type="dxa"/>
              <w:start w:w="85" w:type="dxa"/>
              <w:bottom w:w="70" w:type="dxa"/>
              <w:end w:w="85" w:type="dxa"/>
            </w:tcMar>
            <w:shd w:fill="24476B" w:val="clear"/>
          </w:tcPr>
          <w:p>
            <w:pPr>
              <w:spacing w:before="0" w:after="0" w:line="259" w:lineRule="auto"/>
              <w:jc w:val="center"/>
            </w:pPr>
            <w:r/>
            <w:r>
              <w:rPr>
                <w:rFonts w:ascii="Arial" w:hAnsi="Arial" w:eastAsia="PingFang SC"/>
                <w:b/>
                <w:color w:val="FFFFFF"/>
                <w:sz w:val="16"/>
              </w:rPr>
              <w:t>chunk ID / 来源</w:t>
            </w:r>
          </w:p>
        </w:tc>
        <w:tc>
          <w:tcPr>
            <w:tcW w:type="dxa" w:w="8334"/>
            <w:vAlign w:val="center"/>
            <w:tcMar>
              <w:top w:w="70" w:type="dxa"/>
              <w:start w:w="85" w:type="dxa"/>
              <w:bottom w:w="70" w:type="dxa"/>
              <w:end w:w="85" w:type="dxa"/>
            </w:tcMar>
            <w:shd w:fill="24476B" w:val="clear"/>
          </w:tcPr>
          <w:p>
            <w:pPr>
              <w:spacing w:before="0" w:after="0" w:line="259" w:lineRule="auto"/>
              <w:jc w:val="center"/>
            </w:pPr>
            <w:r/>
            <w:r>
              <w:rPr>
                <w:rFonts w:ascii="Arial" w:hAnsi="Arial" w:eastAsia="PingFang SC"/>
                <w:b/>
                <w:color w:val="FFFFFF"/>
                <w:sz w:val="16"/>
              </w:rPr>
              <w:t>chunk 正文摘录</w:t>
            </w:r>
          </w:p>
        </w:tc>
        <w:tc>
          <w:tcPr>
            <w:tcW w:type="dxa" w:w="907"/>
            <w:vAlign w:val="center"/>
            <w:tcMar>
              <w:top w:w="70" w:type="dxa"/>
              <w:start w:w="85" w:type="dxa"/>
              <w:bottom w:w="70" w:type="dxa"/>
              <w:end w:w="85" w:type="dxa"/>
            </w:tcMar>
            <w:shd w:fill="24476B" w:val="clear"/>
          </w:tcPr>
          <w:p>
            <w:pPr>
              <w:spacing w:before="0" w:after="0" w:line="259" w:lineRule="auto"/>
              <w:jc w:val="center"/>
            </w:pPr>
            <w:r/>
            <w:r>
              <w:rPr>
                <w:rFonts w:ascii="Arial" w:hAnsi="Arial" w:eastAsia="PingFang SC"/>
                <w:b/>
                <w:color w:val="FFFFFF"/>
                <w:sz w:val="16"/>
              </w:rPr>
              <w:t>gold</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1</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0.621513</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明十三陵-景区介绍_000::chunk_0014</w:t>
              <w:br/>
              <w:t>来源：明十三陵-景区介绍</w:t>
              <w:br/>
              <w:t>标题：明十三陵-景区介绍_sub_000.txt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为了继续维护皇权运用的绝对自专性，这位出身皇室旁系的皇帝采取了种种树立自己权威的措施。其中包括在嘉靖十五年为自己营建陵园。定陵的墓主神宗朱翊钧，虽然出身于皇太子，是理所当然的皇位继承人。但他在即位后的开始十年，却因首辅大学士张居正在皇太后的支持下锐意改革， 勇于任事，客观上形成了对皇权的“侵犯”。当时，神宗虽迫于皇太后的压力，屈从于张居正，但心理上却存在着一种太阿旁落的失落感。万历十年(1582年)张居正去世，神宗即…</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2</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0.610577</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明十三陵-景区介绍_000::chunk_0001</w:t>
              <w:br/>
              <w:t>来源：明十三陵-景区介绍</w:t>
              <w:br/>
              <w:t>标题：明十三陵-景区介绍_sub_000.txt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经过一年多的时间，终于在昌平境内的黄土山找到了万年吉壤。朱棣遂封黄土山为天寿山，降旨圈地方圆80里作为陵区禁地。明十三陵陵寝布局不是按照《周礼》左昭右穆的方式，而是以尊者居于主脉，卑者居于从脉（余脉）的布局排列的。长陵是十三陵的首陵，位于天寿山主峰中部，其他各陵分列其左右。十三陵中长陵最大，永陵、定陵次之，思陵最小。陵寝建造方式可分为三种：一是皇帝生前所建陵，规模大且装饰华丽（如长陵、永陵、定陵）；二是由嗣帝所建陵，…</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3</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0.603029</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明十三陵-景区介绍_000::chunk_0000</w:t>
              <w:br/>
              <w:t>来源：明十三陵-景区介绍</w:t>
              <w:br/>
              <w:t>标题：明十三陵-景区介绍_sub_000.txt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明十三陵景区是位于北京市昌平区十三陵镇境内的旅游景区，景区面积为83.57平方千米，是国家级八达岭―十三陵风景名胜区的重要组成部分。明十三陵是明朝迁都北京后13位皇帝陵墓的总称，从1409年营建长陵到清顺治初年营建思陵，长达200多年间依次建有长陵、献陵、景陵、裕陵、茂陵、泰陵、康陵、永陵、昭陵、定陵、庆陵、德陵、思陵，故称十三陵。明十三陵景区目前对外开放的景区包括长陵、定陵、昭陵、康陵、神路。除此之外，康陵实行预约…</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4</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0.597123</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明十三陵-景区介绍_000::chunk_0010</w:t>
              <w:br/>
              <w:t>来源：明十三陵-景区介绍</w:t>
              <w:br/>
              <w:t>标题：明十三陵-景区介绍_sub_000.txt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在十三陵地区中，朱雀代表的蜿蜒向东汇入十三陵水库的“东沙河”这里青山环抱，风景美丽，在方圆约40平方公里的小盆地里，错落有致地分布着明代13个皇帝的陵墓，后人称为明十三陵。现在这里成了一个驰名世界的游览地。由于这个陵墓区太大了，一般游人主要游览其中的两个陵墓，一个是建筑规格最宏伟的长陵，一个是将地下宫殿发掘出来的定陵。每一座皇陵 都有一座地下宫殿，但是发掘出来的只有定陵这一个。游人进入陵园，首先会对排列在马路两侧的1…</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5</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0.590894</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明十三陵-景区介绍_000::chunk_0002</w:t>
              <w:br/>
              <w:t>来源：明十三陵-景区介绍</w:t>
              <w:br/>
              <w:t>标题：明十三陵-景区介绍_sub_000.txt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1957年被列为北京市第一批重点古建文物保护单位。1961年被列为全国重点文物保护单位。1982年，十三陵和八达岭作为一个完整的风景名胜区又被列为全国重点风景名胜保护区之一。2003年7月3日，明十三陵作为明清皇家陵寝的扩展项目，经联合国第27届世界遗产大会审议通过，被列入《世界遗产名录》。定陵景区定陵是明朝第十三位皇帝神宗朱翊钧及其孝端皇后、孝靖皇后的合葬陵。始建于明万历十二年（1584年），历时6年建成，耗银八百…</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6</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0.575837</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明十三陵-景区介绍_000::chunk_0007</w:t>
              <w:br/>
              <w:t>来源：明十三陵-景区介绍</w:t>
              <w:br/>
              <w:t>标题：明十三陵-景区介绍_sub_000.txt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98年开放，修复后的居庸关长城不仅再现了我国古代比较完整的长城建筑设施，使中外游人更加全面深入了解万里长城的文化内涵，而且风景优美，成为中外游客旅游休闲的好去处。秦始皇陵，中国历史上第一位皇帝嬴政（前259—前210年）的陵寝，中国第一批世界文化遗产、第一批全国重点文物保护单位，位于陕西省西安市临潼区城东5千米处的骊山北麓。秦始皇陵建于秦王政元年（前247年），秦二世二年（前208年）竣工，历时39年，是中国历史上第…</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7</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0.551143</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明十三陵-景区介绍_000::chunk_0011</w:t>
              <w:br/>
              <w:t>来源：明十三陵-景区介绍</w:t>
              <w:br/>
              <w:t>标题：明十三陵-景区介绍_sub_000.txt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昭陵在明十三陵中位居第九，是明朝第十二个皇帝和他的三个皇后的合葬墓，昭陵的建筑有其独特的地方。是明十三陵中地面建筑最完整，且最具代表性的陵寝建筑。明朝从朱元璋建国至末代崇祯亡国，共历16代帝王。那么除了在十三陵埋葬的13个皇帝，其它的3个在哪呢？首先，明朝开国皇帝朱元璋，建都于南京，死后葬于南京钟山之阳称“明孝陵”。所以，大明的首陵不在北京，在南京。现在“明孝陵”与孙中山的“中山陵”位于一个大景区之内，旅游的时候需要…</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8</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0.548637</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明十三陵-景区介绍_000::chunk_0013</w:t>
              <w:br/>
              <w:t>来源：明十三陵-景区介绍</w:t>
              <w:br/>
              <w:t>标题：明十三陵-景区介绍_sub_000.txt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由于明朝时皇家陵地卜选采用的是盛行于当时的江西之法，亦即形势宗风水术，注重龙、穴、砂、水的相配关系，而明十三陵所在的天寿山吉地又是永乐年间江西著名的风水术士廖均卿等人所选，因而明十三陵自然环境具有四面青山环抱，中间明堂开阔．水流屈曲横过的特点，而各陵所在位置又都背山面水，处于左右护山的环抱之中。这一陵址位置的经营方式与建在平原之上的陵墓相比，其自然景观显得更为赏心悦目，丰富多彩，更能显示皇帝陵寝肃穆庄严和恢宏的气势。…</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9</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0.533113</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明十三陵-景区介绍_000::chunk_0008</w:t>
              <w:br/>
              <w:t>来源：明十三陵-景区介绍</w:t>
              <w:br/>
              <w:t>标题：明十三陵-景区介绍_sub_000.txt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礼记》、《尔雅》等书记载：“南向、北向、西方为上”。“西南隅谓这奥，尊长之处也”。东汉《论衡》一书记载得更为明确：“夫西方，长者之地，尊者之位也，尊者在西，卑幼在东……夫墓，死人所藏；田，人所饮食；宅，人所居处，三者于人，去凶宜等。”即在芷阳的宣太后也希望其陵墓能葬在她丈夫与儿子之间，即“西望吾夫，东望吾子”，似乎亦是按尊长在西、卑幼居东的原则。秦始皇先祖已确知葬在芷阳的有秦昭襄王、秦庄襄王和秦宣太后。既然先祖墓均…</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10</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0.527721</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明十三陵-景区介绍_000::chunk_0015</w:t>
              <w:br/>
              <w:t>来源：明十三陵-景区介绍</w:t>
              <w:br/>
              <w:t>标题：明十三陵-景区介绍_sub_000.txt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为保证色调一致，将公路两侧３０米内可视房屋建筑统一粉刷为灰色；拆除开放景区内的商亭，增设中英文标识牌；并将陵寝周围的电线埋入地下。在各陵中，仅定陵于１９５６年进行了考古发掘，定陵玄宫内除加护必要的防护网罩，地面铺设保护性橡胶皮，出土文物入库妥为保藏外，其他陵寝墓室建筑均保持着原有的真实性和完整性。各陵宝城之前原址均建有祾恩门、祾恩殿、左右配殿、神帛炉、棂星门、石五供及宰牲亭、神厨、神库等建筑。现祾恩殿、祾恩门和神帛炉…</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1</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6.400323</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明十三陵-景区介绍_000::chunk_0014</w:t>
              <w:br/>
              <w:t>来源：明十三陵-景区介绍</w:t>
              <w:br/>
              <w:t>标题：明十三陵-景区介绍_sub_000.txt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为了继续维护皇权运用的绝对自专性，这位出身皇室旁系的皇帝采取了种种树立自己权威的措施。其中包括在嘉靖十五年为自己营建陵园。定陵的墓主神宗朱翊钧，虽然出身于皇太子，是理所当然的皇位继承人。但他在即位后的开始十年，却因首辅大学士张居正在皇太后的支持下锐意改革， 勇于任事，客观上形成了对皇权的“侵犯”。当时，神宗虽迫于皇太后的压力，屈从于张居正，但心理上却存在着一种太阿旁落的失落感。万历十年(1582年)张居正去世，神宗即…</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2</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6.317713</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明十三陵-景区介绍_000::chunk_0002</w:t>
              <w:br/>
              <w:t>来源：明十三陵-景区介绍</w:t>
              <w:br/>
              <w:t>标题：明十三陵-景区介绍_sub_000.txt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1957年被列为北京市第一批重点古建文物保护单位。1961年被列为全国重点文物保护单位。1982年，十三陵和八达岭作为一个完整的风景名胜区又被列为全国重点风景名胜保护区之一。2003年7月3日，明十三陵作为明清皇家陵寝的扩展项目，经联合国第27届世界遗产大会审议通过，被列入《世界遗产名录》。定陵景区定陵是明朝第十三位皇帝神宗朱翊钧及其孝端皇后、孝靖皇后的合葬陵。始建于明万历十二年（1584年），历时6年建成，耗银八百…</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3</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6.238761</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明十三陵-景区介绍_000::chunk_0000</w:t>
              <w:br/>
              <w:t>来源：明十三陵-景区介绍</w:t>
              <w:br/>
              <w:t>标题：明十三陵-景区介绍_sub_000.txt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明十三陵景区是位于北京市昌平区十三陵镇境内的旅游景区，景区面积为83.57平方千米，是国家级八达岭―十三陵风景名胜区的重要组成部分。明十三陵是明朝迁都北京后13位皇帝陵墓的总称，从1409年营建长陵到清顺治初年营建思陵，长达200多年间依次建有长陵、献陵、景陵、裕陵、茂陵、泰陵、康陵、永陵、昭陵、定陵、庆陵、德陵、思陵，故称十三陵。明十三陵景区目前对外开放的景区包括长陵、定陵、昭陵、康陵、神路。除此之外，康陵实行预约…</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4</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5.893558</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明十三陵-景区介绍_000::chunk_0013</w:t>
              <w:br/>
              <w:t>来源：明十三陵-景区介绍</w:t>
              <w:br/>
              <w:t>标题：明十三陵-景区介绍_sub_000.txt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由于明朝时皇家陵地卜选采用的是盛行于当时的江西之法，亦即形势宗风水术，注重龙、穴、砂、水的相配关系，而明十三陵所在的天寿山吉地又是永乐年间江西著名的风水术士廖均卿等人所选，因而明十三陵自然环境具有四面青山环抱，中间明堂开阔．水流屈曲横过的特点，而各陵所在位置又都背山面水，处于左右护山的环抱之中。这一陵址位置的经营方式与建在平原之上的陵墓相比，其自然景观显得更为赏心悦目，丰富多彩，更能显示皇帝陵寝肃穆庄严和恢宏的气势。…</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5</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5.693761</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明十三陵-景区介绍_000::chunk_0010</w:t>
              <w:br/>
              <w:t>来源：明十三陵-景区介绍</w:t>
              <w:br/>
              <w:t>标题：明十三陵-景区介绍_sub_000.txt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在十三陵地区中，朱雀代表的蜿蜒向东汇入十三陵水库的“东沙河”这里青山环抱，风景美丽，在方圆约40平方公里的小盆地里，错落有致地分布着明代13个皇帝的陵墓，后人称为明十三陵。现在这里成了一个驰名世界的游览地。由于这个陵墓区太大了，一般游人主要游览其中的两个陵墓，一个是建筑规格最宏伟的长陵，一个是将地下宫殿发掘出来的定陵。每一座皇陵 都有一座地下宫殿，但是发掘出来的只有定陵这一个。游人进入陵园，首先会对排列在马路两侧的1…</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6</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5.428558</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明十三陵-景区介绍_000::chunk_0007</w:t>
              <w:br/>
              <w:t>来源：明十三陵-景区介绍</w:t>
              <w:br/>
              <w:t>标题：明十三陵-景区介绍_sub_000.txt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98年开放，修复后的居庸关长城不仅再现了我国古代比较完整的长城建筑设施，使中外游人更加全面深入了解万里长城的文化内涵，而且风景优美，成为中外游客旅游休闲的好去处。秦始皇陵，中国历史上第一位皇帝嬴政（前259—前210年）的陵寝，中国第一批世界文化遗产、第一批全国重点文物保护单位，位于陕西省西安市临潼区城东5千米处的骊山北麓。秦始皇陵建于秦王政元年（前247年），秦二世二年（前208年）竣工，历时39年，是中国历史上第…</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7</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5.257970</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明十三陵-景区介绍_000::chunk_0012</w:t>
              <w:br/>
              <w:t>来源：明十三陵-景区介绍</w:t>
              <w:br/>
              <w:t>标题：明十三陵-景区介绍_sub_000.txt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在明代，沿着万里长城，从东到西，一共设立了9个边防重镇，以防止外族的入侵，历史上称做"九边"。由此可以看出，十三陵是一个典型的"边塞陵区"。明末清初著名学者顾炎武曾经专门写诗来描述这里的地理优势：“群山自南来，势若蛟龙翔。东趾踞卢龙，西脊驰太行。后尻坐黄花(指黄花镇)，前面临神京。中有万年宅，名曰康家庄。可容百万人，豁然开明堂。明十三陵的三个特色比较中国历代皇帝陵墓，明十三陵具有三个明显特色。第一，陵区建筑的整体性特…</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8</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4.718558</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明十三陵-景区介绍_000::chunk_0005</w:t>
              <w:br/>
              <w:t>来源：明十三陵-景区介绍</w:t>
              <w:br/>
              <w:t>标题：明十三陵-景区介绍_sub_000.txt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在兵马俑的身份界定上：有学者认为，兵马俑军阵为《尉缓子》所说的“常阵”，有的学者认为，兵马俑就是单纯为始皇帝送葬的俑群。认为兵马俑是现实秦军的反映，但具体是何种编制，又有几种观点：第一种观点认为，兵马俑是秦始皇东巡卫队的象征；第二种观点认为，兵马俑象征着驻在京城外的军队，可称之为宿卫军，三军拱卫京师；第三种观点认为，秦俑军阵是由正、奇兵和指挥部组成的军阵；第四种观点认为，兵马俑不是左、中、右三军，而是秦代中央军的三个…</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9</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2.763012</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明十三陵-景区介绍_000::chunk_0004</w:t>
              <w:br/>
              <w:t>来源：明十三陵-景区介绍</w:t>
              <w:br/>
              <w:t>标题：明十三陵-景区介绍_sub_000.txt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其下构件均依木制构件形制进行雕刻。支撑楼体的6根石柱下端均有夹杆石。夹杆石四面浮雕精美，分别雕刻着“双狮滚绣球”、“云龙”和“草龙”图案。夹杆石顶部前后各雕麒麟或卧狮，左右两侧均雕宝山。此坊体量宏伟，比例谐调，制作精美，通透空灵，是中国现存石牌坊中少有的上乘之作。大红门大红门处于龙山和虎山之间，是陵区的总门户。大宫门墙体为红色，单檐庑殿顶，上覆黄色琉璃瓦，下承石刻冰盘檐，辟三券门。券门内两侧各有门枕石，当年曾装有门扇…</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10</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2.627545</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明十三陵-景区介绍_000::chunk_0008</w:t>
              <w:br/>
              <w:t>来源：明十三陵-景区介绍</w:t>
              <w:br/>
              <w:t>标题：明十三陵-景区介绍_sub_000.txt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礼记》、《尔雅》等书记载：“南向、北向、西方为上”。“西南隅谓这奥，尊长之处也”。东汉《论衡》一书记载得更为明确：“夫西方，长者之地，尊者之位也，尊者在西，卑幼在东……夫墓，死人所藏；田，人所饮食；宅，人所居处，三者于人，去凶宜等。”即在芷阳的宣太后也希望其陵墓能葬在她丈夫与儿子之间，即“西望吾夫，东望吾子”，似乎亦是按尊长在西、卑幼居东的原则。秦始皇先祖已确知葬在芷阳的有秦昭襄王、秦庄襄王和秦宣太后。既然先祖墓均…</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1</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0.740100</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明十三陵-景区介绍_000::chunk_0014</w:t>
              <w:br/>
              <w:t>来源：明十三陵-景区介绍</w:t>
              <w:br/>
              <w:t>标题：明十三陵-景区介绍_sub_000.txt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为了继续维护皇权运用的绝对自专性，这位出身皇室旁系的皇帝采取了种种树立自己权威的措施。其中包括在嘉靖十五年为自己营建陵园。定陵的墓主神宗朱翊钧，虽然出身于皇太子，是理所当然的皇位继承人。但他在即位后的开始十年，却因首辅大学士张居正在皇太后的支持下锐意改革， 勇于任事，客观上形成了对皇权的“侵犯”。当时，神宗虽迫于皇太后的压力，屈从于张居正，但心理上却存在着一种太阿旁落的失落感。万历十年(1582年)张居正去世，神宗即…</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2</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0.740026</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明十三陵-景区介绍_000::chunk_0010</w:t>
              <w:br/>
              <w:t>来源：明十三陵-景区介绍</w:t>
              <w:br/>
              <w:t>标题：明十三陵-景区介绍_sub_000.txt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在十三陵地区中，朱雀代表的蜿蜒向东汇入十三陵水库的“东沙河”这里青山环抱，风景美丽，在方圆约40平方公里的小盆地里，错落有致地分布着明代13个皇帝的陵墓，后人称为明十三陵。现在这里成了一个驰名世界的游览地。由于这个陵墓区太大了，一般游人主要游览其中的两个陵墓，一个是建筑规格最宏伟的长陵，一个是将地下宫殿发掘出来的定陵。每一座皇陵 都有一座地下宫殿，但是发掘出来的只有定陵这一个。游人进入陵园，首先会对排列在马路两侧的1…</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3</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0.723235</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明十三陵-景区介绍_000::chunk_0000</w:t>
              <w:br/>
              <w:t>来源：明十三陵-景区介绍</w:t>
              <w:br/>
              <w:t>标题：明十三陵-景区介绍_sub_000.txt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明十三陵景区是位于北京市昌平区十三陵镇境内的旅游景区，景区面积为83.57平方千米，是国家级八达岭―十三陵风景名胜区的重要组成部分。明十三陵是明朝迁都北京后13位皇帝陵墓的总称，从1409年营建长陵到清顺治初年营建思陵，长达200多年间依次建有长陵、献陵、景陵、裕陵、茂陵、泰陵、康陵、永陵、昭陵、定陵、庆陵、德陵、思陵，故称十三陵。明十三陵景区目前对外开放的景区包括长陵、定陵、昭陵、康陵、神路。除此之外，康陵实行预约…</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4</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0.719316</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明十三陵-景区介绍_000::chunk_0002</w:t>
              <w:br/>
              <w:t>来源：明十三陵-景区介绍</w:t>
              <w:br/>
              <w:t>标题：明十三陵-景区介绍_sub_000.txt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1957年被列为北京市第一批重点古建文物保护单位。1961年被列为全国重点文物保护单位。1982年，十三陵和八达岭作为一个完整的风景名胜区又被列为全国重点风景名胜保护区之一。2003年7月3日，明十三陵作为明清皇家陵寝的扩展项目，经联合国第27届世界遗产大会审议通过，被列入《世界遗产名录》。定陵景区定陵是明朝第十三位皇帝神宗朱翊钧及其孝端皇后、孝靖皇后的合葬陵。始建于明万历十二年（1584年），历时6年建成，耗银八百…</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5</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0.697745</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明十三陵-景区介绍_000::chunk_0007</w:t>
              <w:br/>
              <w:t>来源：明十三陵-景区介绍</w:t>
              <w:br/>
              <w:t>标题：明十三陵-景区介绍_sub_000.txt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98年开放，修复后的居庸关长城不仅再现了我国古代比较完整的长城建筑设施，使中外游人更加全面深入了解万里长城的文化内涵，而且风景优美，成为中外游客旅游休闲的好去处。秦始皇陵，中国历史上第一位皇帝嬴政（前259—前210年）的陵寝，中国第一批世界文化遗产、第一批全国重点文物保护单位，位于陕西省西安市临潼区城东5千米处的骊山北麓。秦始皇陵建于秦王政元年（前247年），秦二世二年（前208年）竣工，历时39年，是中国历史上第…</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6</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0.677240</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明十三陵-景区介绍_000::chunk_0001</w:t>
              <w:br/>
              <w:t>来源：明十三陵-景区介绍</w:t>
              <w:br/>
              <w:t>标题：明十三陵-景区介绍_sub_000.txt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经过一年多的时间，终于在昌平境内的黄土山找到了万年吉壤。朱棣遂封黄土山为天寿山，降旨圈地方圆80里作为陵区禁地。明十三陵陵寝布局不是按照《周礼》左昭右穆的方式，而是以尊者居于主脉，卑者居于从脉（余脉）的布局排列的。长陵是十三陵的首陵，位于天寿山主峰中部，其他各陵分列其左右。十三陵中长陵最大，永陵、定陵次之，思陵最小。陵寝建造方式可分为三种：一是皇帝生前所建陵，规模大且装饰华丽（如长陵、永陵、定陵）；二是由嗣帝所建陵，…</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7</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0.626119</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明十三陵-景区介绍_000::chunk_0013</w:t>
              <w:br/>
              <w:t>来源：明十三陵-景区介绍</w:t>
              <w:br/>
              <w:t>标题：明十三陵-景区介绍_sub_000.txt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由于明朝时皇家陵地卜选采用的是盛行于当时的江西之法，亦即形势宗风水术，注重龙、穴、砂、水的相配关系，而明十三陵所在的天寿山吉地又是永乐年间江西著名的风水术士廖均卿等人所选，因而明十三陵自然环境具有四面青山环抱，中间明堂开阔．水流屈曲横过的特点，而各陵所在位置又都背山面水，处于左右护山的环抱之中。这一陵址位置的经营方式与建在平原之上的陵墓相比，其自然景观显得更为赏心悦目，丰富多彩，更能显示皇帝陵寝肃穆庄严和恢宏的气势。…</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8</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0.623900</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明十三陵-景区介绍_000::chunk_0011</w:t>
              <w:br/>
              <w:t>来源：明十三陵-景区介绍</w:t>
              <w:br/>
              <w:t>标题：明十三陵-景区介绍_sub_000.txt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昭陵在明十三陵中位居第九，是明朝第十二个皇帝和他的三个皇后的合葬墓，昭陵的建筑有其独特的地方。是明十三陵中地面建筑最完整，且最具代表性的陵寝建筑。明朝从朱元璋建国至末代崇祯亡国，共历16代帝王。那么除了在十三陵埋葬的13个皇帝，其它的3个在哪呢？首先，明朝开国皇帝朱元璋，建都于南京，死后葬于南京钟山之阳称“明孝陵”。所以，大明的首陵不在北京，在南京。现在“明孝陵”与孙中山的“中山陵”位于一个大景区之内，旅游的时候需要…</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9</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0.579744</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明十三陵-景区介绍_000::chunk_0012</w:t>
              <w:br/>
              <w:t>来源：明十三陵-景区介绍</w:t>
              <w:br/>
              <w:t>标题：明十三陵-景区介绍_sub_000.txt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在明代，沿着万里长城，从东到西，一共设立了9个边防重镇，以防止外族的入侵，历史上称做"九边"。由此可以看出，十三陵是一个典型的"边塞陵区"。明末清初著名学者顾炎武曾经专门写诗来描述这里的地理优势：“群山自南来，势若蛟龙翔。东趾踞卢龙，西脊驰太行。后尻坐黄花(指黄花镇)，前面临神京。中有万年宅，名曰康家庄。可容百万人，豁然开明堂。明十三陵的三个特色比较中国历代皇帝陵墓，明十三陵具有三个明显特色。第一，陵区建筑的整体性特…</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10</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0.556345</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明十三陵-景区介绍_000::chunk_0008</w:t>
              <w:br/>
              <w:t>来源：明十三陵-景区介绍</w:t>
              <w:br/>
              <w:t>标题：明十三陵-景区介绍_sub_000.txt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礼记》、《尔雅》等书记载：“南向、北向、西方为上”。“西南隅谓这奥，尊长之处也”。东汉《论衡》一书记载得更为明确：“夫西方，长者之地，尊者之位也，尊者在西，卑幼在东……夫墓，死人所藏；田，人所饮食；宅，人所居处，三者于人，去凶宜等。”即在芷阳的宣太后也希望其陵墓能葬在她丈夫与儿子之间，即“西望吾夫，东望吾子”，似乎亦是按尊长在西、卑幼居东的原则。秦始皇先祖已确知葬在芷阳的有秦昭襄王、秦庄襄王和秦宣太后。既然先祖墓均…</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bl>
    <w:p>
      <w:pPr>
        <w:spacing w:before="80" w:after="60" w:line="276" w:lineRule="auto"/>
      </w:pPr>
      <w:r>
        <w:rPr>
          <w:rFonts w:ascii="Arial" w:hAnsi="Arial" w:eastAsia="PingFang SC"/>
          <w:b w:val="0"/>
          <w:color w:val="5B6573"/>
          <w:sz w:val="16"/>
        </w:rPr>
        <w:t>“命中”表示该 chunk ID 出现在该问题的 gold chunk 列表中；分数保留源检索结果的 score 字段。</w:t>
      </w:r>
    </w:p>
    <w:p>
      <w:r>
        <w:br w:type="page"/>
      </w:r>
    </w:p>
    <w:p>
      <w:pPr>
        <w:pStyle w:val="Heading1"/>
      </w:pPr>
      <w:r>
        <w:t>DuRetrieval-MTEB dev</w:t>
      </w:r>
    </w:p>
    <w:p>
      <w:pPr>
        <w:spacing w:before="0" w:after="80" w:line="276" w:lineRule="auto"/>
      </w:pPr>
      <w:r>
        <w:rPr>
          <w:rFonts w:ascii="Arial" w:hAnsi="Arial" w:eastAsia="PingFang SC"/>
          <w:b w:val="0"/>
          <w:color w:val="44546A"/>
          <w:sz w:val="17"/>
        </w:rPr>
        <w:t>展示版本：当前可用完整三路归档｜问题 ID：edb58f525bd14724d6f490722fa8a657｜实际返回：语义检索 10 条，维度检索 10 条，融合检索 10 条</w:t>
      </w:r>
    </w:p>
    <w:p>
      <w:pPr>
        <w:pStyle w:val="Heading2"/>
      </w:pPr>
      <w:r>
        <w:t>问题</w:t>
      </w:r>
    </w:p>
    <w:p>
      <w:pPr>
        <w:spacing w:before="0" w:after="140" w:line="276" w:lineRule="auto"/>
      </w:pPr>
      <w:r>
        <w:rPr>
          <w:rFonts w:ascii="Arial" w:hAnsi="Arial" w:eastAsia="PingFang SC"/>
          <w:b w:val="0"/>
          <w:color w:val="000000"/>
          <w:sz w:val="20"/>
        </w:rPr>
        <w:t>国家法定节假日共多少天</w:t>
      </w:r>
    </w:p>
    <w:tbl>
      <w:tblPr>
        <w:tblW w:type="auto" w:w="0"/>
        <w:jc w:val="left"/>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276"/>
        <w:gridCol w:w="652"/>
        <w:gridCol w:w="1049"/>
        <w:gridCol w:w="3203"/>
        <w:gridCol w:w="8334"/>
        <w:gridCol w:w="907"/>
      </w:tblGrid>
      <w:tr>
        <w:trPr>
          <w:tblHeader w:val="true"/>
        </w:trPr>
        <w:tc>
          <w:tcPr>
            <w:tcW w:type="dxa" w:w="1276"/>
            <w:vAlign w:val="center"/>
            <w:tcMar>
              <w:top w:w="70" w:type="dxa"/>
              <w:start w:w="85" w:type="dxa"/>
              <w:bottom w:w="70" w:type="dxa"/>
              <w:end w:w="85" w:type="dxa"/>
            </w:tcMar>
            <w:shd w:fill="24476B" w:val="clear"/>
          </w:tcPr>
          <w:p>
            <w:pPr>
              <w:spacing w:before="0" w:after="0" w:line="259" w:lineRule="auto"/>
              <w:jc w:val="center"/>
            </w:pPr>
            <w:r/>
            <w:r>
              <w:rPr>
                <w:rFonts w:ascii="Arial" w:hAnsi="Arial" w:eastAsia="PingFang SC"/>
                <w:b/>
                <w:color w:val="FFFFFF"/>
                <w:sz w:val="16"/>
              </w:rPr>
              <w:t>检索通道</w:t>
            </w:r>
          </w:p>
        </w:tc>
        <w:tc>
          <w:tcPr>
            <w:tcW w:type="dxa" w:w="652"/>
            <w:vAlign w:val="center"/>
            <w:tcMar>
              <w:top w:w="70" w:type="dxa"/>
              <w:start w:w="85" w:type="dxa"/>
              <w:bottom w:w="70" w:type="dxa"/>
              <w:end w:w="85" w:type="dxa"/>
            </w:tcMar>
            <w:shd w:fill="24476B" w:val="clear"/>
          </w:tcPr>
          <w:p>
            <w:pPr>
              <w:spacing w:before="0" w:after="0" w:line="259" w:lineRule="auto"/>
              <w:jc w:val="center"/>
            </w:pPr>
            <w:r/>
            <w:r>
              <w:rPr>
                <w:rFonts w:ascii="Arial" w:hAnsi="Arial" w:eastAsia="PingFang SC"/>
                <w:b/>
                <w:color w:val="FFFFFF"/>
                <w:sz w:val="16"/>
              </w:rPr>
              <w:t>排名</w:t>
            </w:r>
          </w:p>
        </w:tc>
        <w:tc>
          <w:tcPr>
            <w:tcW w:type="dxa" w:w="1049"/>
            <w:vAlign w:val="center"/>
            <w:tcMar>
              <w:top w:w="70" w:type="dxa"/>
              <w:start w:w="85" w:type="dxa"/>
              <w:bottom w:w="70" w:type="dxa"/>
              <w:end w:w="85" w:type="dxa"/>
            </w:tcMar>
            <w:shd w:fill="24476B" w:val="clear"/>
          </w:tcPr>
          <w:p>
            <w:pPr>
              <w:spacing w:before="0" w:after="0" w:line="259" w:lineRule="auto"/>
              <w:jc w:val="center"/>
            </w:pPr>
            <w:r/>
            <w:r>
              <w:rPr>
                <w:rFonts w:ascii="Arial" w:hAnsi="Arial" w:eastAsia="PingFang SC"/>
                <w:b/>
                <w:color w:val="FFFFFF"/>
                <w:sz w:val="16"/>
              </w:rPr>
              <w:t>分数</w:t>
            </w:r>
          </w:p>
        </w:tc>
        <w:tc>
          <w:tcPr>
            <w:tcW w:type="dxa" w:w="3203"/>
            <w:vAlign w:val="center"/>
            <w:tcMar>
              <w:top w:w="70" w:type="dxa"/>
              <w:start w:w="85" w:type="dxa"/>
              <w:bottom w:w="70" w:type="dxa"/>
              <w:end w:w="85" w:type="dxa"/>
            </w:tcMar>
            <w:shd w:fill="24476B" w:val="clear"/>
          </w:tcPr>
          <w:p>
            <w:pPr>
              <w:spacing w:before="0" w:after="0" w:line="259" w:lineRule="auto"/>
              <w:jc w:val="center"/>
            </w:pPr>
            <w:r/>
            <w:r>
              <w:rPr>
                <w:rFonts w:ascii="Arial" w:hAnsi="Arial" w:eastAsia="PingFang SC"/>
                <w:b/>
                <w:color w:val="FFFFFF"/>
                <w:sz w:val="16"/>
              </w:rPr>
              <w:t>chunk ID / 来源</w:t>
            </w:r>
          </w:p>
        </w:tc>
        <w:tc>
          <w:tcPr>
            <w:tcW w:type="dxa" w:w="8334"/>
            <w:vAlign w:val="center"/>
            <w:tcMar>
              <w:top w:w="70" w:type="dxa"/>
              <w:start w:w="85" w:type="dxa"/>
              <w:bottom w:w="70" w:type="dxa"/>
              <w:end w:w="85" w:type="dxa"/>
            </w:tcMar>
            <w:shd w:fill="24476B" w:val="clear"/>
          </w:tcPr>
          <w:p>
            <w:pPr>
              <w:spacing w:before="0" w:after="0" w:line="259" w:lineRule="auto"/>
              <w:jc w:val="center"/>
            </w:pPr>
            <w:r/>
            <w:r>
              <w:rPr>
                <w:rFonts w:ascii="Arial" w:hAnsi="Arial" w:eastAsia="PingFang SC"/>
                <w:b/>
                <w:color w:val="FFFFFF"/>
                <w:sz w:val="16"/>
              </w:rPr>
              <w:t>chunk 正文摘录</w:t>
            </w:r>
          </w:p>
        </w:tc>
        <w:tc>
          <w:tcPr>
            <w:tcW w:type="dxa" w:w="907"/>
            <w:vAlign w:val="center"/>
            <w:tcMar>
              <w:top w:w="70" w:type="dxa"/>
              <w:start w:w="85" w:type="dxa"/>
              <w:bottom w:w="70" w:type="dxa"/>
              <w:end w:w="85" w:type="dxa"/>
            </w:tcMar>
            <w:shd w:fill="24476B" w:val="clear"/>
          </w:tcPr>
          <w:p>
            <w:pPr>
              <w:spacing w:before="0" w:after="0" w:line="259" w:lineRule="auto"/>
              <w:jc w:val="center"/>
            </w:pPr>
            <w:r/>
            <w:r>
              <w:rPr>
                <w:rFonts w:ascii="Arial" w:hAnsi="Arial" w:eastAsia="PingFang SC"/>
                <w:b/>
                <w:color w:val="FFFFFF"/>
                <w:sz w:val="16"/>
              </w:rPr>
              <w:t>gold</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1</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0.796707</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58c00697311c9ad6eb384b6fca7bd12d::chunk_0000</w:t>
              <w:br/>
              <w:t>来源：58c00697311c9ad6eb384b6fca7bd12d</w:t>
              <w:br/>
              <w:t>标题：58c00697311c9ad6eb384b6fca7bd12d</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我国制定的法定节假日都是在规定的时间之内,要求用人单位给员工带薪休假的。不过如果不休假的话,按时的支付加班费也可以。法定节假日肯定是在规定的时间之内放假的,我国每年的法定节假日总体算起来也是相当长的一段时间。那么按照我国的规定,国家法定假日一年多少天呢?一、国家法定假日一年多少天?一年中法定假日包括周六周日一共有115天或116天。计算方法:我国共有法定节假日11天(包括春节、国庆两个假期各3天,元旦、清明、五</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2</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0.794450</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5bc347ff17d488f1704e2893c9e8ecfa::chunk_0000</w:t>
              <w:br/>
              <w:t>来源：5bc347ff17d488f1704e2893c9e8ecfa</w:t>
              <w:br/>
              <w:t>标题：5bc347ff17d488f1704e2893c9e8ecfa</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导读】根据现行我国《全国年节及纪念日放假办法》规定,全体公民放假的法定节假日总共有11天,其中包含元旦、春节等,法定节假日是根据各民族的习惯或纪念要求,统一规定用以庆祝及度假的休息时间。根据《全国年节及纪念日放假办法》规定,我国法定节假日分三种,一种是全体公民放假的节日,另一种是部分公民放假的节日及纪念日。第三种就是少数民族习惯的节日,由各少数民族聚居地区的地方人民政府,按照各该民族习惯,规定放假日期。其中全体公民…</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3</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0.787433</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2c4fe63d3378ac39907b6b2648eb40c5::chunk_0000</w:t>
              <w:br/>
              <w:t>来源：2c4fe63d3378ac39907b6b2648eb40c5</w:t>
              <w:br/>
              <w:t>标题：2c4fe63d3378ac39907b6b2648eb40c5</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一年国家法定节假日为11天。根据公布的国家法定节假日调整方案，调整的主要内容包括：元旦放假1天不变；春节放假3天，放假时间为农历正月初一、初二、初三；“五一”国际劳动节1天不变；“十一”国庆节放假3天；清明节、端午节、中秋节增设为国家法定节假日，各放假1天(农历节日如遇闰月，以第一个月为休假日)。3、允许周末上移下错，与法定节假日形成连休。</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4</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0.787132</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6e67389d07da8ce02ed97167d23baf9d::chunk_0000</w:t>
              <w:br/>
              <w:t>来源：6e67389d07da8ce02ed97167d23baf9d</w:t>
              <w:br/>
              <w:t>标题：6e67389d07da8ce02ed97167d23baf9d</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现在法定假日是元旦1天，春节3天，清明节1天，五一劳动节1天，端午节1天，国庆节3天，中秋节1天，共计11天。法定休息日每年52个周末总共104天。合到一起总计115天。这些日历上面都有吧，自己看呀！人生日历上面的假期很全很准，可以试一下。</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5</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0.773240</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1132b79d0bc37fc0d6f975904a8c0343::chunk_0000</w:t>
              <w:br/>
              <w:t>来源：1132b79d0bc37fc0d6f975904a8c0343</w:t>
              <w:br/>
              <w:t>标题：1132b79d0bc37fc0d6f975904a8c0343</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答：国家规定的2016年法定节假日累计有11天。2016年法定假日一览表元旦：规定在1月1日放假1天;春节：规定在阴历除夕(十二月二十九日或三十日)至正月初二放假3天;清明节：规定在清明当日放假1天。劳动节：规定在5月1日当日放假1天。端午节：规定在端午当日放假1天。中秋节：规定在中秋当日放假1天。国庆节：规定在10月1日至3日放假3天。不过，一般在放假时国家会考虑临近的双休日一块安排休息，以2016年为例，2016…</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6</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0.753335</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f659e0711490aee108fe656dafa4386d::chunk_0000</w:t>
              <w:br/>
              <w:t>来源：f659e0711490aee108fe656dafa4386d</w:t>
              <w:br/>
              <w:t>标题：f659e0711490aee108fe656dafa4386d</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中国节日(中国的节日)编辑 锁定中国节,指中国民间相传的纪念日、欢庆日和被中国承认的国际通用节日等。中国法定节日 有新年[1] (1月1日,放假一天);春节(农历新年,除夕、正月初一、初二放假三天);清明节(农历清明当日,放假一天);国际劳动妇女节(3月8日,妇女放假半天);植树节(3月12日);国际劳动节(5月1日,放假一天);中国青年节(5月4日,14周岁以上的青年放假半天);端午节(农历端午当日,放假一天);国…</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7</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0.747488</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ac02549bbcd642d8d43321b94cd9b62b::chunk_0000</w:t>
              <w:br/>
              <w:t>来源：ac02549bbcd642d8d43321b94cd9b62b</w:t>
              <w:br/>
              <w:t>标题：ac02549bbcd642d8d43321b94cd9b62b</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国家法定有薪假11天。根据国务院《全国年节及纪念日放假办法》规定，国家法定全体公民有薪假11天，分别是：新年，放假1天(1月1日)；春节，放假3天(农历正月初一、初二、初三)；清明节，放假1天(农历清明当日)；劳动节，放假1天(5月1日)；端午节，放假1天(农历端午当日)；中秋节，放假1天(农历中秋当日)；国庆节，放假3天(10月1日、2日、3日)。另外，3.8妇女节妇女放假半天，5.4青年节14岁以上的青年放假半天…</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8</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0.745345</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14cd05483133bb1eeb3be3172692dec5::chunk_0000</w:t>
              <w:br/>
              <w:t>来源：14cd05483133bb1eeb3be3172692dec5</w:t>
              <w:br/>
              <w:t>标题：14cd05483133bb1eeb3be3172692dec5</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一、国家法定节假日有几天 法定节假日共有11天,分别如下: 1、元旦节,放假1天(1月1日);2、春节,放假3天(农历除夕、正月初一、初二);3、清明节,放假1天(农历清明当日);4、劳动节,放假1天(5月1日);5、端午节,放假1天(农历端午当日);6、中秋节,放假1天(农历中秋当日);7、国庆节,放假3天(10月1日、2日、3日)。二、职工在法定节假日加班工资如何发 《劳动法》规定,法定休假日安排劳动者工作的,支…</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9</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0.694863</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de020d006262089d87e79c12a8af17fb::chunk_0000</w:t>
              <w:br/>
              <w:t>来源：de020d006262089d87e79c12a8af17fb</w:t>
              <w:br/>
              <w:t>标题：de020d006262089d87e79c12a8af17fb</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6月9日(星期四,农历端午节当日)为国家法定节假日6月11日(星期日)公休6月12日(星期日)公休调至6月10日(星期五)6月12日(星期日)照常上班。六、中秋节:2016年9月15日至9月17日放假,共3天。9月15日(星期四,农历中秋节当日)为国家法定节假日9月17日(星期六)公休9月18日(星期日)公休调至9月16日(星期五)9月18日(星期日)照常上班。七、十一国庆节:2016年10月1日至10月7日放假,共…</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10</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0.694260</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5eaa158e1c2f9aba780f72cfdc698f0f::chunk_0000</w:t>
              <w:br/>
              <w:t>来源：5eaa158e1c2f9aba780f72cfdc698f0f</w:t>
              <w:br/>
              <w:t>标题：5eaa158e1c2f9aba780f72cfdc698f0f</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二)春节，放假3天(正月初一、初二、初三)(三)清明节，放假1天（农历清明当日）(四)劳动节，放假1天(5月1日)(五)端午节，放假1天(农历端午当日)(六)中秋节，放假1天(农历中秋当日)(七)国庆节，放假3天(10月1日、2日、3日)。2）部分公民放假的节日及纪念日：(一)妇女节(3月8日)，妇女放假半天(二)青年节(5月4日)，14周岁以上的青年放假半天（15-34岁的人为青年）(三)儿童节(6月1日)，不满…</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1</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3.910395</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2c4fe63d3378ac39907b6b2648eb40c5::chunk_0000</w:t>
              <w:br/>
              <w:t>来源：2c4fe63d3378ac39907b6b2648eb40c5</w:t>
              <w:br/>
              <w:t>标题：2c4fe63d3378ac39907b6b2648eb40c5</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一年国家法定节假日为11天。根据公布的国家法定节假日调整方案，调整的主要内容包括：元旦放假1天不变；春节放假3天，放假时间为农历正月初一、初二、初三；“五一”国际劳动节1天不变；“十一”国庆节放假3天；清明节、端午节、中秋节增设为国家法定节假日，各放假1天(农历节日如遇闰月，以第一个月为休假日)。3、允许周末上移下错，与法定节假日形成连休。</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2</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3.872717</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14cd05483133bb1eeb3be3172692dec5::chunk_0000</w:t>
              <w:br/>
              <w:t>来源：14cd05483133bb1eeb3be3172692dec5</w:t>
              <w:br/>
              <w:t>标题：14cd05483133bb1eeb3be3172692dec5</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一、国家法定节假日有几天 法定节假日共有11天,分别如下: 1、元旦节,放假1天(1月1日);2、春节,放假3天(农历除夕、正月初一、初二);3、清明节,放假1天(农历清明当日);4、劳动节,放假1天(5月1日);5、端午节,放假1天(农历端午当日);6、中秋节,放假1天(农历中秋当日);7、国庆节,放假3天(10月1日、2日、3日)。二、职工在法定节假日加班工资如何发 《劳动法》规定,法定休假日安排劳动者工作的,支…</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3</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3.842869</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1132b79d0bc37fc0d6f975904a8c0343::chunk_0000</w:t>
              <w:br/>
              <w:t>来源：1132b79d0bc37fc0d6f975904a8c0343</w:t>
              <w:br/>
              <w:t>标题：1132b79d0bc37fc0d6f975904a8c0343</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答：国家规定的2016年法定节假日累计有11天。2016年法定假日一览表元旦：规定在1月1日放假1天;春节：规定在阴历除夕(十二月二十九日或三十日)至正月初二放假3天;清明节：规定在清明当日放假1天。劳动节：规定在5月1日当日放假1天。端午节：规定在端午当日放假1天。中秋节：规定在中秋当日放假1天。国庆节：规定在10月1日至3日放假3天。不过，一般在放假时国家会考虑临近的双休日一块安排休息，以2016年为例，2016…</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4</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3.785493</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5bc347ff17d488f1704e2893c9e8ecfa::chunk_0000</w:t>
              <w:br/>
              <w:t>来源：5bc347ff17d488f1704e2893c9e8ecfa</w:t>
              <w:br/>
              <w:t>标题：5bc347ff17d488f1704e2893c9e8ecfa</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导读】根据现行我国《全国年节及纪念日放假办法》规定,全体公民放假的法定节假日总共有11天,其中包含元旦、春节等,法定节假日是根据各民族的习惯或纪念要求,统一规定用以庆祝及度假的休息时间。根据《全国年节及纪念日放假办法》规定,我国法定节假日分三种,一种是全体公民放假的节日,另一种是部分公民放假的节日及纪念日。第三种就是少数民族习惯的节日,由各少数民族聚居地区的地方人民政府,按照各该民族习惯,规定放假日期。其中全体公民…</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5</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3.753522</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5f15e194526a468a7626e9c7afbe6b7e::chunk_0000</w:t>
              <w:br/>
              <w:t>来源：5f15e194526a468a7626e9c7afbe6b7e</w:t>
              <w:br/>
              <w:t>标题：5f15e194526a468a7626e9c7afbe6b7e</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2015年国庆法定节假日是几天每年10月1日是我国的国庆节,我国于1999年修订发布《全国年节及纪念日放假办法》,将国庆节与相邻的周六、日组合为7天的国庆长假,被称之为“国庆黄金周”,用放假的形势,让老百姓共同感受国庆的欢乐。因此,2015年国庆法定节假日是7天。2015年国庆节放假安排确定,国庆节...国庆放几天假</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6</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3.707388</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05c40d654677e1654bd38e0317a2cd88::chunk_0000</w:t>
              <w:br/>
              <w:t>来源：05c40d654677e1654bd38e0317a2cd88</w:t>
              <w:br/>
              <w:t>标题：05c40d654677e1654bd38e0317a2cd88</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工资计算依据及方法一、法律定义 1?、制度工作时间的计算 年工作日:365天-104天(休息日)-11天(法定节假日)=250天 月工作日:250天÷12月=20.83天/月 2、日工资、小时工资的折算 按照《劳动法》第五十一条的规定,法定节假日用人单位应当依法支付工资,即折算日工资、小时工资时不剔除国家规定的11天法定节假日。据此,日工资、小时工资的折算为: 日工资:月工资收入÷月计薪天数 小时工资:月工资收入÷(…</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7</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3.636000</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58c00697311c9ad6eb384b6fca7bd12d::chunk_0000</w:t>
              <w:br/>
              <w:t>来源：58c00697311c9ad6eb384b6fca7bd12d</w:t>
              <w:br/>
              <w:t>标题：58c00697311c9ad6eb384b6fca7bd12d</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我国制定的法定节假日都是在规定的时间之内,要求用人单位给员工带薪休假的。不过如果不休假的话,按时的支付加班费也可以。法定节假日肯定是在规定的时间之内放假的,我国每年的法定节假日总体算起来也是相当长的一段时间。那么按照我国的规定,国家法定假日一年多少天呢?一、国家法定假日一年多少天?一年中法定假日包括周六周日一共有115天或116天。计算方法:我国共有法定节假日11天(包括春节、国庆两个假期各3天,元旦、清明、五</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8</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3.610642</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b4103a0360c59a2fe07ecfd4ec37f053::chunk_0000</w:t>
              <w:br/>
              <w:t>来源：b4103a0360c59a2fe07ecfd4ec37f053</w:t>
              <w:br/>
              <w:t>标题：b4103a0360c59a2fe07ecfd4ec37f053</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随着十一黄金周的正式收尾，2016年的最后一个法定节假日也完成了它的使命，在过去的一个多月里，阅兵假、中秋节、国庆节催热了放假季，人们在一段时间里也是笼罩在“过这节，盼那节”的假日氛围里，掀起了一波波出游热、探亲热，但这个黄金周结束后，放假季也就正式换季了。算一下，下一个小长假得等到2017年元旦。上次端午节与抗战胜利日的假期空窗时长是72天，这次国庆结束后到元旦还有85天，堪称2016年最长假期空窗期。当然，年假还…</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9</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3.482079</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591f692e2a067a5f3cd8ebe26c33db01::chunk_0000</w:t>
              <w:br/>
              <w:t>来源：591f692e2a067a5f3cd8ebe26c33db01</w:t>
              <w:br/>
              <w:t>标题：591f692e2a067a5f3cd8ebe26c33db01</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①女员工生育享受98天产假,其中产假前可以休假15天。②难产的,增加产假15天。③生育多胞胎的,每多生育1个婴儿,增加产假15天。④女员工怀孕未满4个月流产的,享受15天产假;怀孕满4个月流产的,享受42天产假。⑤产假为连续假期,包括公休日和法定节假日。</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10</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3.370548</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ac02549bbcd642d8d43321b94cd9b62b::chunk_0000</w:t>
              <w:br/>
              <w:t>来源：ac02549bbcd642d8d43321b94cd9b62b</w:t>
              <w:br/>
              <w:t>标题：ac02549bbcd642d8d43321b94cd9b62b</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国家法定有薪假11天。根据国务院《全国年节及纪念日放假办法》规定，国家法定全体公民有薪假11天，分别是：新年，放假1天(1月1日)；春节，放假3天(农历正月初一、初二、初三)；清明节，放假1天(农历清明当日)；劳动节，放假1天(5月1日)；端午节，放假1天(农历端午当日)；中秋节，放假1天(农历中秋当日)；国庆节，放假3天(10月1日、2日、3日)。另外，3.8妇女节妇女放假半天，5.4青年节14岁以上的青年放假半天…</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1</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0.687262</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2c4fe63d3378ac39907b6b2648eb40c5::chunk_0000</w:t>
              <w:br/>
              <w:t>来源：2c4fe63d3378ac39907b6b2648eb40c5</w:t>
              <w:br/>
              <w:t>标题：2c4fe63d3378ac39907b6b2648eb40c5</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一年国家法定节假日为11天。根据公布的国家法定节假日调整方案，调整的主要内容包括：元旦放假1天不变；春节放假3天，放假时间为农历正月初一、初二、初三；“五一”国际劳动节1天不变；“十一”国庆节放假3天；清明节、端午节、中秋节增设为国家法定节假日，各放假1天(农历节日如遇闰月，以第一个月为休假日)。3、允许周末上移下错，与法定节假日形成连休。</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2</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0.529452</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14cd05483133bb1eeb3be3172692dec5::chunk_0000</w:t>
              <w:br/>
              <w:t>来源：14cd05483133bb1eeb3be3172692dec5</w:t>
              <w:br/>
              <w:t>标题：14cd05483133bb1eeb3be3172692dec5</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一、国家法定节假日有几天 法定节假日共有11天,分别如下: 1、元旦节,放假1天(1月1日);2、春节,放假3天(农历除夕、正月初一、初二);3、清明节,放假1天(农历清明当日);4、劳动节,放假1天(5月1日);5、端午节,放假1天(农历端午当日);6、中秋节,放假1天(农历中秋当日);7、国庆节,放假3天(10月1日、2日、3日)。二、职工在法定节假日加班工资如何发 《劳动法》规定,法定休假日安排劳动者工作的,支…</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3</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0.517768</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1132b79d0bc37fc0d6f975904a8c0343::chunk_0000</w:t>
              <w:br/>
              <w:t>来源：1132b79d0bc37fc0d6f975904a8c0343</w:t>
              <w:br/>
              <w:t>标题：1132b79d0bc37fc0d6f975904a8c0343</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答：国家规定的2016年法定节假日累计有11天。2016年法定假日一览表元旦：规定在1月1日放假1天;春节：规定在阴历除夕(十二月二十九日或三十日)至正月初二放假3天;清明节：规定在清明当日放假1天。劳动节：规定在5月1日当日放假1天。端午节：规定在端午当日放假1天。中秋节：规定在中秋当日放假1天。国庆节：规定在10月1日至3日放假3天。不过，一般在放假时国家会考虑临近的双休日一块安排休息，以2016年为例，2016…</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4</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0.516901</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5bc347ff17d488f1704e2893c9e8ecfa::chunk_0000</w:t>
              <w:br/>
              <w:t>来源：5bc347ff17d488f1704e2893c9e8ecfa</w:t>
              <w:br/>
              <w:t>标题：5bc347ff17d488f1704e2893c9e8ecfa</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导读】根据现行我国《全国年节及纪念日放假办法》规定,全体公民放假的法定节假日总共有11天,其中包含元旦、春节等,法定节假日是根据各民族的习惯或纪念要求,统一规定用以庆祝及度假的休息时间。根据《全国年节及纪念日放假办法》规定,我国法定节假日分三种,一种是全体公民放假的节日,另一种是部分公民放假的节日及纪念日。第三种就是少数民族习惯的节日,由各少数民族聚居地区的地方人民政府,按照各该民族习惯,规定放假日期。其中全体公民…</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5</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0.341979</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5f15e194526a468a7626e9c7afbe6b7e::chunk_0000</w:t>
              <w:br/>
              <w:t>来源：5f15e194526a468a7626e9c7afbe6b7e</w:t>
              <w:br/>
              <w:t>标题：5f15e194526a468a7626e9c7afbe6b7e</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2015年国庆法定节假日是几天每年10月1日是我国的国庆节,我国于1999年修订发布《全国年节及纪念日放假办法》,将国庆节与相邻的周六、日组合为7天的国庆长假,被称之为“国庆黄金周”,用放假的形势,让老百姓共同感受国庆的欢乐。因此,2015年国庆法定节假日是7天。2015年国庆节放假安排确定,国庆节...国庆放几天假</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6</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0.135257</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05c40d654677e1654bd38e0317a2cd88::chunk_0000</w:t>
              <w:br/>
              <w:t>来源：05c40d654677e1654bd38e0317a2cd88</w:t>
              <w:br/>
              <w:t>标题：05c40d654677e1654bd38e0317a2cd88</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工资计算依据及方法一、法律定义 1?、制度工作时间的计算 年工作日:365天-104天(休息日)-11天(法定节假日)=250天 月工作日:250天÷12月=20.83天/月 2、日工资、小时工资的折算 按照《劳动法》第五十一条的规定,法定节假日用人单位应当依法支付工资,即折算日工资、小时工资时不剔除国家规定的11天法定节假日。据此,日工资、小时工资的折算为: 日工资:月工资收入÷月计薪天数 小时工资:月工资收入÷(…</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7</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0.475000</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58c00697311c9ad6eb384b6fca7bd12d::chunk_0000</w:t>
              <w:br/>
              <w:t>来源：58c00697311c9ad6eb384b6fca7bd12d</w:t>
              <w:br/>
              <w:t>标题：58c00697311c9ad6eb384b6fca7bd12d</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我国制定的法定节假日都是在规定的时间之内,要求用人单位给员工带薪休假的。不过如果不休假的话,按时的支付加班费也可以。法定节假日肯定是在规定的时间之内放假的,我国每年的法定节假日总体算起来也是相当长的一段时间。那么按照我国的规定,国家法定假日一年多少天呢?一、国家法定假日一年多少天?一年中法定假日包括周六周日一共有115天或116天。计算方法:我国共有法定节假日11天(包括春节、国庆两个假期各3天,元旦、清明、五</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8</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0.216218</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b4103a0360c59a2fe07ecfd4ec37f053::chunk_0000</w:t>
              <w:br/>
              <w:t>来源：b4103a0360c59a2fe07ecfd4ec37f053</w:t>
              <w:br/>
              <w:t>标题：b4103a0360c59a2fe07ecfd4ec37f053</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随着十一黄金周的正式收尾，2016年的最后一个法定节假日也完成了它的使命，在过去的一个多月里，阅兵假、中秋节、国庆节催热了放假季，人们在一段时间里也是笼罩在“过这节，盼那节”的假日氛围里，掀起了一波波出游热、探亲热，但这个黄金周结束后，放假季也就正式换季了。算一下，下一个小长假得等到2017年元旦。上次端午节与抗战胜利日的假期空窗时长是72天，这次国庆结束后到元旦还有85天，堪称2016年最长假期空窗期。当然，年假还…</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9</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0.260110</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de020d006262089d87e79c12a8af17fb::chunk_0000</w:t>
              <w:br/>
              <w:t>来源：de020d006262089d87e79c12a8af17fb</w:t>
              <w:br/>
              <w:t>标题：de020d006262089d87e79c12a8af17fb</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6月9日(星期四,农历端午节当日)为国家法定节假日6月11日(星期日)公休6月12日(星期日)公休调至6月10日(星期五)6月12日(星期日)照常上班。六、中秋节:2016年9月15日至9月17日放假,共3天。9月15日(星期四,农历中秋节当日)为国家法定节假日9月17日(星期六)公休9月18日(星期日)公休调至9月16日(星期五)9月18日(星期日)照常上班。七、十一国庆节:2016年10月1日至10月7日放假,共…</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9</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0.146682</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591f692e2a067a5f3cd8ebe26c33db01::chunk_0000</w:t>
              <w:br/>
              <w:t>来源：591f692e2a067a5f3cd8ebe26c33db01</w:t>
              <w:br/>
              <w:t>标题：591f692e2a067a5f3cd8ebe26c33db01</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①女员工生育享受98天产假,其中产假前可以休假15天。②难产的,增加产假15天。③生育多胞胎的,每多生育1个婴儿,增加产假15天。④女员工怀孕未满4个月流产的,享受15天产假;怀孕满4个月流产的,享受42天产假。⑤产假为连续假期,包括公休日和法定节假日。</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bl>
    <w:p>
      <w:pPr>
        <w:spacing w:before="80" w:after="60" w:line="276" w:lineRule="auto"/>
      </w:pPr>
      <w:r>
        <w:rPr>
          <w:rFonts w:ascii="Arial" w:hAnsi="Arial" w:eastAsia="PingFang SC"/>
          <w:b w:val="0"/>
          <w:color w:val="5B6573"/>
          <w:sz w:val="16"/>
        </w:rPr>
        <w:t>“命中”表示该 chunk ID 出现在该问题的 gold chunk 列表中；分数保留源检索结果的 score 字段。</w:t>
      </w:r>
    </w:p>
    <w:p>
      <w:r>
        <w:br w:type="page"/>
      </w:r>
    </w:p>
    <w:p>
      <w:pPr>
        <w:pStyle w:val="Heading1"/>
      </w:pPr>
      <w:r>
        <w:t>db_qa</w:t>
      </w:r>
    </w:p>
    <w:p>
      <w:pPr>
        <w:spacing w:before="0" w:after="80" w:line="276" w:lineRule="auto"/>
      </w:pPr>
      <w:r>
        <w:rPr>
          <w:rFonts w:ascii="Arial" w:hAnsi="Arial" w:eastAsia="PingFang SC"/>
          <w:b w:val="0"/>
          <w:color w:val="44546A"/>
          <w:sz w:val="17"/>
        </w:rPr>
        <w:t>展示版本：当前全流程结果｜问题 ID：64fa9b27b82641eb8ecbe14c｜实际返回：语义检索 10 条，维度检索 10 条，融合检索 10 条</w:t>
      </w:r>
    </w:p>
    <w:p>
      <w:pPr>
        <w:pStyle w:val="Heading2"/>
      </w:pPr>
      <w:r>
        <w:t>问题</w:t>
      </w:r>
    </w:p>
    <w:p>
      <w:pPr>
        <w:spacing w:before="0" w:after="140" w:line="276" w:lineRule="auto"/>
      </w:pPr>
      <w:r>
        <w:rPr>
          <w:rFonts w:ascii="Arial" w:hAnsi="Arial" w:eastAsia="PingFang SC"/>
          <w:b w:val="0"/>
          <w:color w:val="000000"/>
          <w:sz w:val="20"/>
        </w:rPr>
        <w:t>国家卫生健康委在2023年7月28日开展的“启明行动”是为了防控哪个群体的哪种健康问题，并请列出活动发布的指导性文件名称。</w:t>
      </w:r>
    </w:p>
    <w:tbl>
      <w:tblPr>
        <w:tblW w:type="auto" w:w="0"/>
        <w:jc w:val="left"/>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276"/>
        <w:gridCol w:w="652"/>
        <w:gridCol w:w="1049"/>
        <w:gridCol w:w="3203"/>
        <w:gridCol w:w="8334"/>
        <w:gridCol w:w="907"/>
      </w:tblGrid>
      <w:tr>
        <w:trPr>
          <w:tblHeader w:val="true"/>
        </w:trPr>
        <w:tc>
          <w:tcPr>
            <w:tcW w:type="dxa" w:w="1276"/>
            <w:vAlign w:val="center"/>
            <w:tcMar>
              <w:top w:w="70" w:type="dxa"/>
              <w:start w:w="85" w:type="dxa"/>
              <w:bottom w:w="70" w:type="dxa"/>
              <w:end w:w="85" w:type="dxa"/>
            </w:tcMar>
            <w:shd w:fill="24476B" w:val="clear"/>
          </w:tcPr>
          <w:p>
            <w:pPr>
              <w:spacing w:before="0" w:after="0" w:line="259" w:lineRule="auto"/>
              <w:jc w:val="center"/>
            </w:pPr>
            <w:r/>
            <w:r>
              <w:rPr>
                <w:rFonts w:ascii="Arial" w:hAnsi="Arial" w:eastAsia="PingFang SC"/>
                <w:b/>
                <w:color w:val="FFFFFF"/>
                <w:sz w:val="16"/>
              </w:rPr>
              <w:t>检索通道</w:t>
            </w:r>
          </w:p>
        </w:tc>
        <w:tc>
          <w:tcPr>
            <w:tcW w:type="dxa" w:w="652"/>
            <w:vAlign w:val="center"/>
            <w:tcMar>
              <w:top w:w="70" w:type="dxa"/>
              <w:start w:w="85" w:type="dxa"/>
              <w:bottom w:w="70" w:type="dxa"/>
              <w:end w:w="85" w:type="dxa"/>
            </w:tcMar>
            <w:shd w:fill="24476B" w:val="clear"/>
          </w:tcPr>
          <w:p>
            <w:pPr>
              <w:spacing w:before="0" w:after="0" w:line="259" w:lineRule="auto"/>
              <w:jc w:val="center"/>
            </w:pPr>
            <w:r/>
            <w:r>
              <w:rPr>
                <w:rFonts w:ascii="Arial" w:hAnsi="Arial" w:eastAsia="PingFang SC"/>
                <w:b/>
                <w:color w:val="FFFFFF"/>
                <w:sz w:val="16"/>
              </w:rPr>
              <w:t>排名</w:t>
            </w:r>
          </w:p>
        </w:tc>
        <w:tc>
          <w:tcPr>
            <w:tcW w:type="dxa" w:w="1049"/>
            <w:vAlign w:val="center"/>
            <w:tcMar>
              <w:top w:w="70" w:type="dxa"/>
              <w:start w:w="85" w:type="dxa"/>
              <w:bottom w:w="70" w:type="dxa"/>
              <w:end w:w="85" w:type="dxa"/>
            </w:tcMar>
            <w:shd w:fill="24476B" w:val="clear"/>
          </w:tcPr>
          <w:p>
            <w:pPr>
              <w:spacing w:before="0" w:after="0" w:line="259" w:lineRule="auto"/>
              <w:jc w:val="center"/>
            </w:pPr>
            <w:r/>
            <w:r>
              <w:rPr>
                <w:rFonts w:ascii="Arial" w:hAnsi="Arial" w:eastAsia="PingFang SC"/>
                <w:b/>
                <w:color w:val="FFFFFF"/>
                <w:sz w:val="16"/>
              </w:rPr>
              <w:t>分数</w:t>
            </w:r>
          </w:p>
        </w:tc>
        <w:tc>
          <w:tcPr>
            <w:tcW w:type="dxa" w:w="3203"/>
            <w:vAlign w:val="center"/>
            <w:tcMar>
              <w:top w:w="70" w:type="dxa"/>
              <w:start w:w="85" w:type="dxa"/>
              <w:bottom w:w="70" w:type="dxa"/>
              <w:end w:w="85" w:type="dxa"/>
            </w:tcMar>
            <w:shd w:fill="24476B" w:val="clear"/>
          </w:tcPr>
          <w:p>
            <w:pPr>
              <w:spacing w:before="0" w:after="0" w:line="259" w:lineRule="auto"/>
              <w:jc w:val="center"/>
            </w:pPr>
            <w:r/>
            <w:r>
              <w:rPr>
                <w:rFonts w:ascii="Arial" w:hAnsi="Arial" w:eastAsia="PingFang SC"/>
                <w:b/>
                <w:color w:val="FFFFFF"/>
                <w:sz w:val="16"/>
              </w:rPr>
              <w:t>chunk ID / 来源</w:t>
            </w:r>
          </w:p>
        </w:tc>
        <w:tc>
          <w:tcPr>
            <w:tcW w:type="dxa" w:w="8334"/>
            <w:vAlign w:val="center"/>
            <w:tcMar>
              <w:top w:w="70" w:type="dxa"/>
              <w:start w:w="85" w:type="dxa"/>
              <w:bottom w:w="70" w:type="dxa"/>
              <w:end w:w="85" w:type="dxa"/>
            </w:tcMar>
            <w:shd w:fill="24476B" w:val="clear"/>
          </w:tcPr>
          <w:p>
            <w:pPr>
              <w:spacing w:before="0" w:after="0" w:line="259" w:lineRule="auto"/>
              <w:jc w:val="center"/>
            </w:pPr>
            <w:r/>
            <w:r>
              <w:rPr>
                <w:rFonts w:ascii="Arial" w:hAnsi="Arial" w:eastAsia="PingFang SC"/>
                <w:b/>
                <w:color w:val="FFFFFF"/>
                <w:sz w:val="16"/>
              </w:rPr>
              <w:t>chunk 正文摘录</w:t>
            </w:r>
          </w:p>
        </w:tc>
        <w:tc>
          <w:tcPr>
            <w:tcW w:type="dxa" w:w="907"/>
            <w:vAlign w:val="center"/>
            <w:tcMar>
              <w:top w:w="70" w:type="dxa"/>
              <w:start w:w="85" w:type="dxa"/>
              <w:bottom w:w="70" w:type="dxa"/>
              <w:end w:w="85" w:type="dxa"/>
            </w:tcMar>
            <w:shd w:fill="24476B" w:val="clear"/>
          </w:tcPr>
          <w:p>
            <w:pPr>
              <w:spacing w:before="0" w:after="0" w:line="259" w:lineRule="auto"/>
              <w:jc w:val="center"/>
            </w:pPr>
            <w:r/>
            <w:r>
              <w:rPr>
                <w:rFonts w:ascii="Arial" w:hAnsi="Arial" w:eastAsia="PingFang SC"/>
                <w:b/>
                <w:color w:val="FFFFFF"/>
                <w:sz w:val="16"/>
              </w:rPr>
              <w:t>gold</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1</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0.659910</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line_06649_000::chunk_0000</w:t>
              <w:br/>
              <w:t>来源：line_06649</w:t>
              <w:br/>
              <w:t>标题：line_06649_sub_000.txt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2023-07-28 10:14:27作者：白剑峰来源：人民日报 ，正文：为在全社会形成重视儿童眼健康的良好氛围，持续推进综合防控儿童青少年近视工作落实，国家卫生健康委决定在全国持续开展“启明行动”——防控儿童青少年近视健康促进活动，并发布了《防控儿童青少年近视核心知识十条》。本次活动的主题为：重视儿童眼保健，守护孩子明眸“视”界。强调预防为主，推动关口前移，倡导和推动家庭及全社会共同行动起来，营造爱眼护眼的视觉友好…</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2</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0.657841</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line_10385_000::chunk_0000</w:t>
              <w:br/>
              <w:t>来源：line_10385</w:t>
              <w:br/>
              <w:t>标题：line_10385_sub_000.txt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国家卫生健康委7月25日启动并将在全国持续开展“启明行动”——防控儿童青少年近视健康促进活动，活动主题为：重视儿童眼保健，守护孩子明眸“视”界，并发布了防控儿童青少年近视核心知识十条。国家卫生健康委指出，当前，我国儿童青少年近视呈早发、高发态势，已经成为影响儿童健康和全面发展的突出问题。近视可防可控不可逆，要做到早预防、早发现、早干预。原标题：《“启明行动”启动 防控近视这10条核心知识要记牢！》阅读原文</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3</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0.623936</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line_01214_000::chunk_0000</w:t>
              <w:br/>
              <w:t>来源：line_01214</w:t>
              <w:br/>
              <w:t>标题：line_01214_sub_000.txt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7-26 14:27，正文： 本报讯(实习记者 柴嵘)国家卫健委昨天召开发布会，发布《防控儿童青少年近视核心知识十条》，并决定持续开展“启明行动”——防控儿童青少年近视健康促进活动，提供儿童眼病筛查、视力检查等义诊保健服务。《防控儿童青少年近视核心知识十条》包括：预防近视从小从早做起、每天日间户外活动不少于2小时、养成良好用眼习惯、分龄管控视屏时间、每天坚持做眼保健操、均衡营养充足睡眠、遵医散瞳诊断近视、确诊近视及时…</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4</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0.620831</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line_02682_000::chunk_0000</w:t>
              <w:br/>
              <w:t>来源：line_02682</w:t>
              <w:br/>
              <w:t>标题：line_02682_sub_000.txt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原标题：我国将开展防控近视“启明行动”北京日报讯（实习记者 柴嵘）国家卫健委昨天召开发布会，发布《防控儿童青少年近视核心知识十条》，并决定持续开展“启明行动”——防控儿童青少年近视健康促进活动，提供儿童眼病筛查、视力检查等义诊保健服务。《防控儿童青少年近视核心知识十条》包括：预防近视从小从早做起、每天日间户外活动不少于2小时、养成良好用眼习惯、分龄管控视屏时间、每天坚持做眼保健操、均衡营养充足睡眠、遵医散瞳诊断近视、…</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5</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0.571998</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line_05923_000::chunk_0000</w:t>
              <w:br/>
              <w:t>来源：line_05923</w:t>
              <w:br/>
              <w:t>标题：line_05923_sub_000.txt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正文：7月29日，据央视新闻报道：国家卫生健康委日前印发关于开展2023年世界母乳喂养周活动的通知，提出大力推进医疗机构、商场、车站、机场、景区等公共场所以及女职工较多的用人单位、托育机构加强母婴设施建设，提高母婴设施配置率。图/央视新闻视频截图2023年8月1日至7日是第32个世界母乳喂养周。2023年的活动主题为“助力职场家庭促进母乳喂养”，旨在引导全社会关注职场哺乳期妇女，改善母乳喂养支持环境，助力职场哺乳期…</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6</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0.569984</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line_10234_000::chunk_0000</w:t>
              <w:br/>
              <w:t>来源：line_10234</w:t>
              <w:br/>
              <w:t>标题：line_10234_sub_000.txt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2023-07-30，正文： 国家卫生健康委日前印发关于开展2023年世界母乳喂养周活动的通知，提出大力推进医疗机构、商场、车站、机场、景区等公共场所以及女职工较多的用人单位、托育机构加强母婴设施建设，提高母婴设施配置率。2023年8月1日至7日是第32个世界母乳喂养周。2023年的活动主题为“助力职场家庭促进母乳喂养”，旨在引导全社会关注职场哺乳期妇女，改善母乳喂养支持环境，助力职场哺乳期妇女更好实现母乳喂养。通知…</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7</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0.549976</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line_05060_000::chunk_0000</w:t>
              <w:br/>
              <w:t>来源：line_05060</w:t>
              <w:br/>
              <w:t>标题：line_05060_sub_000.txt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2023-07-30，正文：国家卫生健康委日前印发关于开展2023年世界母乳喂养周活动的通知，提出大力推进医疗机构、商场、车站、机场、景区等公共场所以及女职工较多的用人单位、托育机构加强母婴设施建设，提高母婴设施配置率。2023年8月1日至7日是第32个世界母乳喂养周。</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8</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0.547581</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line_05060_000::chunk_0001</w:t>
              <w:br/>
              <w:t>来源：line_05060</w:t>
              <w:br/>
              <w:t>标题：line_05060_sub_000.txt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2023年的活动主题为“助力职场家庭促进母乳喂养”，旨在引导全社会关注职场哺乳期妇女，改善母乳喂养支持环境，助力职场哺乳期妇女更好实现母乳喂养。通知从创新母乳喂养宣传教育、加强母乳喂养咨询指导、改善母乳喂养支持环境等3方面明确活动内容。在创新母乳喂养宣传教育方面，通知提出，各地要全方位、立体式开展母乳喂养宣传教育，传播母乳喂养理念、知识和技能，在全社会营造关心、支持母乳喂养的良好氛围。在加强母乳喂养咨询指导方面，医疗…</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9</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0.546244</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line_01152_000::chunk_0000</w:t>
              <w:br/>
              <w:t>来源：line_01152</w:t>
              <w:br/>
              <w:t>标题：line_01152_sub_000.txt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2023-08-10，正文：中国国家发改委等部门联合印发最新民生“福利单”中新社北京8月9日电 (记者 王恩博)中国国家发改委9日发布消息称，近日，经国务院批准同意，国家发改委等部门联合印发了《国家基本公共服务标准(2023年版)》(下称《国家标准2023》)。这是自2021年国家基本公共服务标准发布实施以来的首次调整。据介绍，《国家标准2023》在保持总体结构与旧版国家标准一致的基础上，对部分服务项目进行了“增”“…</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语义检索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10</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0.538771</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line_03222_000::chunk_0001</w:t>
              <w:br/>
              <w:t>来源：line_03222</w:t>
              <w:br/>
              <w:t>标题：line_03222_sub_000.txt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今年的活动主题为“助力职场家庭促进母乳喂养”，旨在引导全社会关注职场哺乳期妇女，改善母乳喂养支持环境，助力职场哺乳期妇女更好实现母乳喂养。通知从创新母乳喂养宣传教育、加强母乳喂养咨询指导、改善母乳喂养支持环境等3方面明确活动内容。在创新母乳喂养宣传教育方面，通知提出，各地要全方位、立体式开展母乳喂养宣传教育，传播母乳喂养理念、知识和技能，在全社会营造关心、支持母乳喂养的良好氛围。在加强母乳喂养咨询指导方面，通知提出，…</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1</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4.374585</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line_01819_000::chunk_0000</w:t>
              <w:br/>
              <w:t>来源：line_01819</w:t>
              <w:br/>
              <w:t>标题：line_01819_sub_000.txt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2023-08-16，正文：央视网消息：被称为“史上最强”的医药反腐风暴席卷医药行业，国家卫生健康委就外界关注的六大问题作出回应。8月15日，国家卫生健康委官网发布《全国医药领域腐败问题集中整治工作有关问答》，六个问答详细解释了开展集中整治的背景、目的、主要原则、重点内容、工作计划以及学术会议延期、腐败案例传闻等外界关注的热点话题。国家卫生健康委表示，伴随全面从严治党、党风廉政建设和反腐败斗争取得历史性成就，医药领域…</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2</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4.304585</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line_10385_000::chunk_0000</w:t>
              <w:br/>
              <w:t>来源：line_10385</w:t>
              <w:br/>
              <w:t>标题：line_10385_sub_000.txt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国家卫生健康委7月25日启动并将在全国持续开展“启明行动”——防控儿童青少年近视健康促进活动，活动主题为：重视儿童眼保健，守护孩子明眸“视”界，并发布了防控儿童青少年近视核心知识十条。国家卫生健康委指出，当前，我国儿童青少年近视呈早发、高发态势，已经成为影响儿童健康和全面发展的突出问题。近视可防可控不可逆，要做到早预防、早发现、早干预。原标题：《“启明行动”启动 防控近视这10条核心知识要记牢！》阅读原文</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3</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4.088373</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line_03865_000::chunk_0000</w:t>
              <w:br/>
              <w:t>来源：line_03865</w:t>
              <w:br/>
              <w:t>标题：line_03865_sub_000.txt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2023-08-15 14:11，正文：8月15日，国家卫健委就全国医药领域腐败问题集中整治工作发布有关问答。针对“集中整治工作部署以来，有什么工作进展，下一步工作有什么打算”，国家卫健委表示，今年7月初，国家卫生健康委会同9部门联合印发了有关文件，聚焦解决当前医药领域腐败的突出问题，以及医药购销和医疗服务全链条中容易产生问题的关键环节，明确了此次集中整治的总体要求、整治内容、工作步骤和工作要求。7月12日，国家卫生…</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4</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4.075229</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line_02023_000::chunk_0000</w:t>
              <w:br/>
              <w:t>来源：line_02023</w:t>
              <w:br/>
              <w:t>标题：line_02023_sub_000.txt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2023-08-18 14:18，正文：原标题：“最美医生”李俊升：给18岁孤儿成功完成纤维瘤手术，中国医生感动卢旺达近日，中宣部和国家卫生健康委联合发布2023年“最美医生”。8月18日，国务院新闻办举行“最美医生”中外记者见面会。第13、15、16、18、20、22批中国援卢旺达医疗队队员、内蒙古自治区第四医院外科主任李俊升参加了见面会。李俊升今年52岁，2007年加入援外医疗队大家庭以来，先后6次近10年时光工…</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5</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4.015229</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line_00769_000::chunk_0000</w:t>
              <w:br/>
              <w:t>来源：line_00769</w:t>
              <w:br/>
              <w:t>标题：line_00769_sub_000.txt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近日,广东省总工会女职委下发《关于开展2023 年女职工“两癌”免费筛查关爱活动的通知》(下称《通知》),明确于7 月至11月,在全省开展以“健康向未来 工会伴你行”为主题的女职工宫颈癌和乳腺癌(下称“两癌”) 免费筛查关爱活动,切实把省总工会为女职工尤其是新业态女职工的“送健康”关爱行动落到实处。为贯彻落实《“健康广东 2030”规划》《广东省妇女发展规划(2021-2030 年)》《广东省实施&lt;女职工劳动保护特别…</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6</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4.005229</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line_07996_000::chunk_0000</w:t>
              <w:br/>
              <w:t>来源：line_07996</w:t>
              <w:br/>
              <w:t>标题：line_07996_sub_000.txt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原标题：2023年国家医保基金飞行检查启动严厉打击医保领域各类违法违规行为本报讯 记者赵晨熙 8月23日，2023年国家医保基金飞行检查在贵州省毕节市启动。国家医保局介绍，为充分发挥医保基金监管在医药领域反腐败“探照灯”作用，严厉打击医保领域各类违法违规行为，自今年8月起，国家医保局、财政部、国家卫生健康委、国家中医药局四部门联合组织开展覆盖全国31个省（自治区、直辖市）和新疆生产建设兵团的医疗保障基金飞行检查。针对…</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7</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4.005229</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line_01581_000::chunk_0000</w:t>
              <w:br/>
              <w:t>来源：line_01581</w:t>
              <w:br/>
              <w:t>标题：line_01581_sub_000.txt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2023-08-18 12:30，正文：原标题：扎根乡村47年“最美医生”刘永生：村民弥留之际喊着我的名字，让我坚定做下去的决心近日，中宣部和国家卫生健康委联合发布2023年“最美医生”。8月18日，国务院新闻办举行“最美医生”中外记者见面会。乡村医生刘永生，1959年5月出生，1976年参加工作，现在是陕西省渭南市潼关县秦东镇寺角营村荒移卫生室乡村医生。他已经扎根农村47年了。47年来，他先后接诊病人12万人次，出…</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8</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4.005229</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line_10315_000::chunk_0000</w:t>
              <w:br/>
              <w:t>来源：line_10315</w:t>
              <w:br/>
              <w:t>标题：line_10315_sub_000.txt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2023-08-06，正文： 光明日报北京8月5日电（记者邱玥）近日，人力资源和社会保障部会同国家卫生健康委、应急管理部、国家铁路局、国家矿山安全监察局联合发布《关于实施矿山、机械制造、铁路运输、铁路建设施工等行业重点企业工伤预防能力提升培训工程的通知》（以下简称《通知》），部署实施四类行业重点企业工伤预防能力提升培训工程，提升相关领域从业人员工伤预防意识和能力，从源头上预防和减少工伤事故发生。《通知》强调，要紧紧围…</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9</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4.005229</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line_05205_000::chunk_0000</w:t>
              <w:br/>
              <w:t>来源：line_05205</w:t>
              <w:br/>
              <w:t>标题：line_05205_sub_000.txt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2023-08-17，正文：新华社北京8月17日电 为深入学习贯彻习近平新时代中国特色社会主义思想，大力弘扬崇高职业精神、伟大抗疫精神、中国医疗队精神，在中国援外医疗队派遣60周年和第六个“中国医师节”到来之际，中央宣传部、国家卫生健康委向全社会公开发布2023年“最美医生”先进事迹。丁樱、刘永生、李燕明、张颖惠、陈峰、邵志敏、索朗片多、康敏、梁宗安等9名个人和中国援外医疗队光荣入选。他们中有的带动全县千名医务工作者…</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维度检索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10</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4.005229</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line_08648_000::chunk_0000</w:t>
              <w:br/>
              <w:t>来源：line_08648</w:t>
              <w:br/>
              <w:t>标题：line_08648_sub_000.txt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2023-08-19 08:53，正文：原标题：陕西乡村医生刘永生入选2023年“最美医生”陕西乡村医生刘永生入选2023年“最美医生” 来源：陕西日报本报讯 (记者 霍强 实习生 郭智荣)在中国援外医疗队派遣60周年和第六个中国医师节到来之际，中央宣传部、国家卫生健康委向社会公开发布2023年“最美医生”先进事迹，共有9名医生以及中国援外医疗队入选。渭南市潼关县秦东镇寺角营村荒移卫生室乡村医生刘永生位列其中。8月1…</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1</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0.795701</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line_10385_000::chunk_0000</w:t>
              <w:br/>
              <w:t>来源：line_10385</w:t>
              <w:br/>
              <w:t>标题：line_10385_sub_000.txt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国家卫生健康委7月25日启动并将在全国持续开展“启明行动”——防控儿童青少年近视健康促进活动，活动主题为：重视儿童眼保健，守护孩子明眸“视”界，并发布了防控儿童青少年近视核心知识十条。国家卫生健康委指出，当前，我国儿童青少年近视呈早发、高发态势，已经成为影响儿童健康和全面发展的突出问题。近视可防可控不可逆，要做到早预防、早发现、早干预。原标题：《“启明行动”启动 防控近视这10条核心知识要记牢！》阅读原文</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2</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0.747113</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line_06649_000::chunk_0000</w:t>
              <w:br/>
              <w:t>来源：line_06649</w:t>
              <w:br/>
              <w:t>标题：line_06649_sub_000.txt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2023-07-28 10:14:27作者：白剑峰来源：人民日报 ，正文：为在全社会形成重视儿童眼健康的良好氛围，持续推进综合防控儿童青少年近视工作落实，国家卫生健康委决定在全国持续开展“启明行动”——防控儿童青少年近视健康促进活动，并发布了《防控儿童青少年近视核心知识十条》。本次活动的主题为：重视儿童眼保健，守护孩子明眸“视”界。强调预防为主，推动关口前移，倡导和推动家庭及全社会共同行动起来，营造爱眼护眼的视觉友好…</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3</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0.672073</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line_01214_000::chunk_0000</w:t>
              <w:br/>
              <w:t>来源：line_01214</w:t>
              <w:br/>
              <w:t>标题：line_01214_sub_000.txt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7-26 14:27，正文： 本报讯(实习记者 柴嵘)国家卫健委昨天召开发布会，发布《防控儿童青少年近视核心知识十条》，并决定持续开展“启明行动”——防控儿童青少年近视健康促进活动，提供儿童眼病筛查、视力检查等义诊保健服务。《防控儿童青少年近视核心知识十条》包括：预防近视从小从早做起、每天日间户外活动不少于2小时、养成良好用眼习惯、分龄管控视屏时间、每天坚持做眼保健操、均衡营养充足睡眠、遵医散瞳诊断近视、确诊近视及时…</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4</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0.668968</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line_02682_000::chunk_0000</w:t>
              <w:br/>
              <w:t>来源：line_02682</w:t>
              <w:br/>
              <w:t>标题：line_02682_sub_000.txt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原标题：我国将开展防控近视“启明行动”北京日报讯（实习记者 柴嵘）国家卫健委昨天召开发布会，发布《防控儿童青少年近视核心知识十条》，并决定持续开展“启明行动”——防控儿童青少年近视健康促进活动，提供儿童眼病筛查、视力检查等义诊保健服务。《防控儿童青少年近视核心知识十条》包括：预防近视从小从早做起、每天日间户外活动不少于2小时、养成良好用眼习惯、分龄管控视屏时间、每天坚持做眼保健操、均衡营养充足睡眠、遵医散瞳诊断近视、…</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5</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0.654070</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line_03865_000::chunk_0000</w:t>
              <w:br/>
              <w:t>来源：line_03865</w:t>
              <w:br/>
              <w:t>标题：line_03865_sub_000.txt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2023-08-15 14:11，正文：8月15日，国家卫健委就全国医药领域腐败问题集中整治工作发布有关问答。针对“集中整治工作部署以来，有什么工作进展，下一步工作有什么打算”，国家卫健委表示，今年7月初，国家卫生健康委会同9部门联合印发了有关文件，聚焦解决当前医药领域腐败的突出问题，以及医药购销和医疗服务全链条中容易产生问题的关键环节，明确了此次集中整治的总体要求、整治内容、工作步骤和工作要求。7月12日，国家卫生…</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6</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0.625458</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line_05923_000::chunk_0000</w:t>
              <w:br/>
              <w:t>来源：line_05923</w:t>
              <w:br/>
              <w:t>标题：line_05923_sub_000.txt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正文：7月29日，据央视新闻报道：国家卫生健康委日前印发关于开展2023年世界母乳喂养周活动的通知，提出大力推进医疗机构、商场、车站、机场、景区等公共场所以及女职工较多的用人单位、托育机构加强母婴设施建设，提高母婴设施配置率。图/央视新闻视频截图2023年8月1日至7日是第32个世界母乳喂养周。2023年的活动主题为“助力职场家庭促进母乳喂养”，旨在引导全社会关注职场哺乳期妇女，改善母乳喂养支持环境，助力职场哺乳期…</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7</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0.616655</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line_10234_000::chunk_0000</w:t>
              <w:br/>
              <w:t>来源：line_10234</w:t>
              <w:br/>
              <w:t>标题：line_10234_sub_000.txt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2023-07-30，正文： 国家卫生健康委日前印发关于开展2023年世界母乳喂养周活动的通知，提出大力推进医疗机构、商场、车站、机场、景区等公共场所以及女职工较多的用人单位、托育机构加强母婴设施建设，提高母婴设施配置率。2023年8月1日至7日是第32个世界母乳喂养周。2023年的活动主题为“助力职场家庭促进母乳喂养”，旨在引导全社会关注职场哺乳期妇女，改善母乳喂养支持环境，助力职场哺乳期妇女更好实现母乳喂养。通知…</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8</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0.613320</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line_07125_000::chunk_0001</w:t>
              <w:br/>
              <w:t>来源：line_07125</w:t>
              <w:br/>
              <w:t>标题：line_07125_sub_000.txt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针对“集中整治工作部署以来，有什么工作进展，下一步工作有什么打算”，国家卫健委表示，今年7月初，国家卫生健康委会同9部门联合印发了有关文件，聚焦解决当前医药领域腐败的突出问题，以及医药购销和医疗服务全链条中容易产生问题的关键环节，明确了此次集中整治的总体要求、整治内容、工作步骤和工作要求。7月12日，国家卫生健康委等10部门召开了全国医药领域腐败问题集中整治工作视频会议，聚焦医药领域生产、供应、销售、使用、报销等重点…</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9</w:t>
            </w:r>
          </w:p>
        </w:tc>
        <w:tc>
          <w:tcPr>
            <w:tcW w:type="dxa" w:w="1049"/>
            <w:vAlign w:val="center"/>
            <w:tcMar>
              <w:top w:w="70" w:type="dxa"/>
              <w:start w:w="85" w:type="dxa"/>
              <w:bottom w:w="70" w:type="dxa"/>
              <w:end w:w="85" w:type="dxa"/>
            </w:tcMar>
            <w:shd w:fill="FFFFFF" w:val="clear"/>
          </w:tcPr>
          <w:p>
            <w:pPr>
              <w:spacing w:before="0" w:after="0" w:line="259" w:lineRule="auto"/>
              <w:jc w:val="right"/>
            </w:pPr>
            <w:r/>
            <w:r>
              <w:rPr>
                <w:rFonts w:ascii="Arial" w:hAnsi="Arial" w:eastAsia="PingFang SC"/>
                <w:b w:val="0"/>
                <w:color w:val="000000"/>
                <w:sz w:val="16"/>
              </w:rPr>
              <w:t>0.596825</w:t>
            </w:r>
          </w:p>
        </w:tc>
        <w:tc>
          <w:tcPr>
            <w:tcW w:type="dxa" w:w="3203"/>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line_05060_000::chunk_0000</w:t>
              <w:br/>
              <w:t>来源：line_05060</w:t>
              <w:br/>
              <w:t>标题：line_05060_sub_000.txt</w:t>
            </w:r>
          </w:p>
        </w:tc>
        <w:tc>
          <w:tcPr>
            <w:tcW w:type="dxa" w:w="8334"/>
            <w:vAlign w:val="center"/>
            <w:tcMar>
              <w:top w:w="70" w:type="dxa"/>
              <w:start w:w="85" w:type="dxa"/>
              <w:bottom w:w="70" w:type="dxa"/>
              <w:end w:w="85" w:type="dxa"/>
            </w:tcMar>
            <w:shd w:fill="FFFFFF" w:val="clear"/>
          </w:tcPr>
          <w:p>
            <w:pPr>
              <w:spacing w:before="0" w:after="0" w:line="259" w:lineRule="auto"/>
              <w:jc w:val="left"/>
            </w:pPr>
            <w:r/>
            <w:r>
              <w:rPr>
                <w:rFonts w:ascii="Arial" w:hAnsi="Arial" w:eastAsia="PingFang SC"/>
                <w:b w:val="0"/>
                <w:color w:val="000000"/>
                <w:sz w:val="15"/>
              </w:rPr>
              <w:t>2023-07-30，正文：国家卫生健康委日前印发关于开展2023年世界母乳喂养周活动的通知，提出大力推进医疗机构、商场、车站、机场、景区等公共场所以及女职工较多的用人单位、托育机构加强母婴设施建设，提高母婴设施配置率。2023年8月1日至7日是第32个世界母乳喂养周。</w:t>
            </w:r>
          </w:p>
        </w:tc>
        <w:tc>
          <w:tcPr>
            <w:tcW w:type="dxa" w:w="907"/>
            <w:vAlign w:val="center"/>
            <w:tcMar>
              <w:top w:w="70" w:type="dxa"/>
              <w:start w:w="85" w:type="dxa"/>
              <w:bottom w:w="70" w:type="dxa"/>
              <w:end w:w="85" w:type="dxa"/>
            </w:tcMar>
            <w:shd w:fill="FFFFFF" w:val="clear"/>
          </w:tcPr>
          <w:p>
            <w:pPr>
              <w:spacing w:before="0" w:after="0" w:line="259" w:lineRule="auto"/>
              <w:jc w:val="center"/>
            </w:pPr>
            <w:r/>
            <w:r>
              <w:rPr>
                <w:rFonts w:ascii="Arial" w:hAnsi="Arial" w:eastAsia="PingFang SC"/>
                <w:b w:val="0"/>
                <w:color w:val="000000"/>
                <w:sz w:val="16"/>
              </w:rPr>
              <w:t>未命中</w:t>
            </w:r>
          </w:p>
        </w:tc>
      </w:tr>
      <w:tr>
        <w:trPr>
          <w:cantSplit/>
        </w:trPr>
        <w:tc>
          <w:tcPr>
            <w:tcW w:type="dxa" w:w="1276"/>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融合检索</w:t>
            </w:r>
          </w:p>
        </w:tc>
        <w:tc>
          <w:tcPr>
            <w:tcW w:type="dxa" w:w="652"/>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10</w:t>
            </w:r>
          </w:p>
        </w:tc>
        <w:tc>
          <w:tcPr>
            <w:tcW w:type="dxa" w:w="1049"/>
            <w:vAlign w:val="center"/>
            <w:tcMar>
              <w:top w:w="70" w:type="dxa"/>
              <w:start w:w="85" w:type="dxa"/>
              <w:bottom w:w="70" w:type="dxa"/>
              <w:end w:w="85" w:type="dxa"/>
            </w:tcMar>
            <w:shd w:fill="EAF2F8" w:val="clear"/>
          </w:tcPr>
          <w:p>
            <w:pPr>
              <w:spacing w:before="0" w:after="0" w:line="259" w:lineRule="auto"/>
              <w:jc w:val="right"/>
            </w:pPr>
            <w:r/>
            <w:r>
              <w:rPr>
                <w:rFonts w:ascii="Arial" w:hAnsi="Arial" w:eastAsia="PingFang SC"/>
                <w:b w:val="0"/>
                <w:color w:val="000000"/>
                <w:sz w:val="16"/>
              </w:rPr>
              <w:t>0.592192</w:t>
            </w:r>
          </w:p>
        </w:tc>
        <w:tc>
          <w:tcPr>
            <w:tcW w:type="dxa" w:w="3203"/>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line_03222_000::chunk_0000</w:t>
              <w:br/>
              <w:t>来源：line_03222</w:t>
              <w:br/>
              <w:t>标题：line_03222_sub_000.txt</w:t>
            </w:r>
          </w:p>
        </w:tc>
        <w:tc>
          <w:tcPr>
            <w:tcW w:type="dxa" w:w="8334"/>
            <w:vAlign w:val="center"/>
            <w:tcMar>
              <w:top w:w="70" w:type="dxa"/>
              <w:start w:w="85" w:type="dxa"/>
              <w:bottom w:w="70" w:type="dxa"/>
              <w:end w:w="85" w:type="dxa"/>
            </w:tcMar>
            <w:shd w:fill="EAF2F8" w:val="clear"/>
          </w:tcPr>
          <w:p>
            <w:pPr>
              <w:spacing w:before="0" w:after="0" w:line="259" w:lineRule="auto"/>
              <w:jc w:val="left"/>
            </w:pPr>
            <w:r/>
            <w:r>
              <w:rPr>
                <w:rFonts w:ascii="Arial" w:hAnsi="Arial" w:eastAsia="PingFang SC"/>
                <w:b w:val="0"/>
                <w:color w:val="000000"/>
                <w:sz w:val="15"/>
              </w:rPr>
              <w:t>"新华社北京7月28日电（记者李恒）为进一步加强母乳喂养咨询指导，改善母乳喂养支持环境，国家卫生健康委办公厅日前印发关于开展2023年世界母乳喂养周活动的通知，提出大力推进医疗机构、商场、车站、机场、景区等公共场所以及女职工较多的用人单位、托育机构加强母婴设施建设，提高母婴设施配置率。母乳被认为是婴儿理想的天然食品，科学进行母乳喂养，事关母婴共同健康。2023年8月1日至7日是第32个世界母乳喂养周。</w:t>
            </w:r>
          </w:p>
        </w:tc>
        <w:tc>
          <w:tcPr>
            <w:tcW w:type="dxa" w:w="907"/>
            <w:vAlign w:val="center"/>
            <w:tcMar>
              <w:top w:w="70" w:type="dxa"/>
              <w:start w:w="85" w:type="dxa"/>
              <w:bottom w:w="70" w:type="dxa"/>
              <w:end w:w="85" w:type="dxa"/>
            </w:tcMar>
            <w:shd w:fill="EAF2F8" w:val="clear"/>
          </w:tcPr>
          <w:p>
            <w:pPr>
              <w:spacing w:before="0" w:after="0" w:line="259" w:lineRule="auto"/>
              <w:jc w:val="center"/>
            </w:pPr>
            <w:r/>
            <w:r>
              <w:rPr>
                <w:rFonts w:ascii="Arial" w:hAnsi="Arial" w:eastAsia="PingFang SC"/>
                <w:b w:val="0"/>
                <w:color w:val="000000"/>
                <w:sz w:val="16"/>
              </w:rPr>
              <w:t>未命中</w:t>
            </w:r>
          </w:p>
        </w:tc>
      </w:tr>
    </w:tbl>
    <w:p>
      <w:pPr>
        <w:spacing w:before="80" w:after="60" w:line="276" w:lineRule="auto"/>
      </w:pPr>
      <w:r>
        <w:rPr>
          <w:rFonts w:ascii="Arial" w:hAnsi="Arial" w:eastAsia="PingFang SC"/>
          <w:b w:val="0"/>
          <w:color w:val="5B6573"/>
          <w:sz w:val="16"/>
        </w:rPr>
        <w:t>“命中”表示该 chunk ID 出现在该问题的 gold chunk 列表中；分数保留源检索结果的 score 字段。</w:t>
      </w:r>
    </w:p>
    <w:sectPr w:rsidR="00FC693F" w:rsidRPr="0006063C" w:rsidSect="00034616">
      <w:pgSz w:w="16838" w:h="11906" w:orient="landscape"/>
      <w:pgMar w:top="567" w:right="709" w:bottom="624"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PingFang SC"/>
      <w:b w:val="0"/>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eastAsia="PingFang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PingFang SC"/>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PingFang S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三数据集三路检索 Chunk 结果明细</dc:title>
  <dc:subject>语义检索、维度检索和融合检索的 Top10 实际 Chunk 结果</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