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libri" w:hAnsi="Calibri" w:eastAsia="Microsoft YaHei"/>
          <w:b/>
          <w:color w:val="0E7490"/>
          <w:sz w:val="22"/>
        </w:rPr>
        <w:t>AI先锋未来人才大赛 · 项目附加报告</w:t>
      </w:r>
    </w:p>
    <w:p>
      <w:pPr>
        <w:spacing w:before="320" w:after="240"/>
        <w:jc w:val="center"/>
      </w:pPr>
      <w:r>
        <w:rPr>
          <w:rFonts w:ascii="Calibri" w:hAnsi="Calibri" w:eastAsia="Microsoft YaHei"/>
          <w:b/>
          <w:color w:val="0B2545"/>
          <w:sz w:val="64"/>
        </w:rPr>
        <w:t>烽燧智守</w:t>
      </w:r>
    </w:p>
    <w:p>
      <w:pPr>
        <w:jc w:val="center"/>
      </w:pPr>
      <w:r>
        <w:rPr>
          <w:rFonts w:ascii="Calibri" w:hAnsi="Calibri" w:eastAsia="Microsoft YaHei"/>
          <w:color w:val="1F4D78"/>
          <w:sz w:val="30"/>
        </w:rPr>
        <w:t>面向垃圾焚烧发电厂关键设备的故障预警与智能运维系统</w:t>
      </w:r>
    </w:p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E7490"/>
                <w:sz w:val="22"/>
              </w:rPr>
              <w:t>可运行 · 可解释 · 可协同 · 可闭环 · 可逐步接入真实数据</w:t>
            </w:r>
          </w:p>
        </w:tc>
      </w:tr>
    </w:tbl>
    <w:p/>
    <w:p/>
    <w:p/>
    <w:p/>
    <w:p/>
    <w:p>
      <w:pPr>
        <w:jc w:val="center"/>
      </w:pPr>
      <w:r>
        <w:rPr>
          <w:rFonts w:ascii="Calibri" w:hAnsi="Calibri" w:eastAsia="Microsoft YaHei"/>
          <w:color w:val="566573"/>
          <w:sz w:val="20"/>
        </w:rPr>
        <w:t>最终成品版  |  2026年7月</w:t>
      </w:r>
    </w:p>
    <w:p>
      <w:r>
        <w:br w:type="page"/>
      </w:r>
    </w:p>
    <w:p>
      <w:pPr>
        <w:pStyle w:val="Heading1"/>
      </w:pPr>
      <w:r>
        <w:t>执行摘要</w:t>
      </w:r>
    </w:p>
    <w:p>
      <w:r>
        <w:t>烽燧智守以垃圾焚烧发电厂关键旋转设备为对象，把监测、工况识别、健康评估、异常预警、知识检索、Agent编排、三维定位、飞书工单、备件扣减、维修验证和知识沉淀连接为可追溯业务闭环。比赛版本提供12台设备、10个故障案例、9类语义3D模型和完整Mock演示；真实平台能力按配置逐模块启用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7A5A00"/>
                <w:sz w:val="20"/>
              </w:rPr>
              <w:t>真实性声明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9"/>
              </w:rPr>
              <w:t>遥测、健康度、故障概率、诊断结论和经济价值均为模拟演示或目标口径；当前规则模型不代表生产准确率，是否停机必须由现场负责人依据安全规程决定。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交付维度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本次成品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业务闭环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1号引风机68→92、预警关闭、库存6→5、知识候选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AI能力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本地RAG、十工具Agent、结构化Provider、多模态辅助与失败降级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飞书工具链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多维表格工单、机器人/卡片/事件/WebSocket适配，Aily与妙搭指南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数字孪生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增强/原始引风机、三档LOD、八类组件模型、节点与故障联动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工程质量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TypeScript strict、Vitest/Supertest/Playwright、离线演示、Vercel/EdgeOne</w:t>
            </w:r>
          </w:p>
        </w:tc>
      </w:tr>
    </w:tbl>
    <w:p>
      <w:pPr>
        <w:spacing w:after="20"/>
      </w:pP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42432" cy="35905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590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566573"/>
          <w:sz w:val="17"/>
        </w:rPr>
        <w:t>图1  设备总览：12台演示设备与垃圾焚烧厂关键设备拓扑</w:t>
      </w:r>
    </w:p>
    <w:p>
      <w:pPr>
        <w:pStyle w:val="Heading1"/>
      </w:pPr>
      <w:r>
        <w:t>1. 需求与业务洞察</w:t>
      </w:r>
    </w:p>
    <w:p>
      <w:r>
        <w:t>运行值班、设备维修、设备管理和工厂管理层关注的不是同一张报表，但共享同一条证据链。系统以风险处置旅程组织功能，避免把AI做成孤立聊天入口。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核心痛点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系统价值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运行值班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多系统切换、告警缺少工况语境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快速理解风险、证据和建议时限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设备维修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资料分散、检查清单不完整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3D部件定位、RAG步骤和移动巡检入口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设备管理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工单、库存和历史案例割裂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受控Agent、库存联动和知识候选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管理层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指标口径不一、责任和进度不可见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状态总览、闭环轨迹和数据边界</w:t>
            </w:r>
          </w:p>
        </w:tc>
      </w:tr>
    </w:tbl>
    <w:p>
      <w:pPr>
        <w:spacing w:after="20"/>
      </w:pPr>
    </w:p>
    <w:p>
      <w:pPr>
        <w:pStyle w:val="Heading2"/>
      </w:pPr>
      <w:r>
        <w:t>替代方案差异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固定阈值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普通设备管理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单一诊断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烽燧智守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工况适应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弱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弱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视产品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五类工况基准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可解释证据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阈值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流程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视模型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趋势+贡献+引用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3D/RAG/Agent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无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通常无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局部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统一接入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工单与备件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弱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强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弱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闭环联动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部署路径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较低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中高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高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Mock起步、模块化启用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2. 系统架构与业务闭环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E7490"/>
                <w:sz w:val="20"/>
              </w:rPr>
              <w:t>闭环主线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9"/>
              </w:rPr>
              <w:t>设备数据 → 工况基准 → 健康与风险 → RAG证据 → Agent工具编排 → 3D定位 → 库存检查 → 飞书工单 → 维修验证 → 知识沉淀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关键实现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体验层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深色工业指挥UI、飞书网页应用、普通浏览器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React、Router、Query、响应式设计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智能层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意图、RAG、Agent、结构化诊断、多模态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Zod、轻量索引、十工具、降级Provider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业务层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健康评估、预警、工单、库存、知识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可解释规则、状态机、幂等和审计日志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适配层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Mock/Feishu、通知、认证和模型Provider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Repository/Provider接口与分模块能力判断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数据与资产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演示数据、多维表格、GLB/Blend和文档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固定种子、localStorage重放、LOD模型库</w:t>
            </w:r>
          </w:p>
        </w:tc>
      </w:tr>
    </w:tbl>
    <w:p>
      <w:pPr>
        <w:spacing w:after="20"/>
      </w:pPr>
    </w:p>
    <w:p>
      <w:pPr>
        <w:pStyle w:val="Heading1"/>
      </w:pPr>
      <w:r>
        <w:t>3. 六大核心能力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AI算法基础：工况规则、RAG、Agent、结构化输出、多模态、失败降级和可解释证据链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AI工具链应用：飞书多维表格、机器人、卡片、WebSocket、Aily、妙搭和豆包Provider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工程落地能力：Monorepo、统一领域模型、API、测试、安全、性能、离线与部署回滚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产品思维：四类用户、风险旅程、人工确认、模块优先级和分阶段落地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业务洞察：垃圾焚烧关键设备、10类故障、多参数贡献、工单/库存/知识联动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表达展示：深色工业UI、拓扑、语义3D、截图、报告、PPT、路演稿和Q&amp;A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42432" cy="35905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six-skills-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590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566573"/>
          <w:sz w:val="17"/>
        </w:rPr>
        <w:t>图2  六大能力映射页：功能、技术、Demo与证据文件对应</w:t>
      </w:r>
    </w:p>
    <w:p>
      <w:r>
        <w:br w:type="page"/>
      </w:r>
    </w:p>
    <w:p>
      <w:pPr>
        <w:pStyle w:val="Heading1"/>
      </w:pPr>
      <w:r>
        <w:t>4. AI算法与知识能力</w:t>
      </w:r>
    </w:p>
    <w:p>
      <w:pPr>
        <w:pStyle w:val="Heading2"/>
      </w:pPr>
      <w:r>
        <w:t>可解释健康评估</w:t>
      </w:r>
    </w:p>
    <w:p>
      <w:r>
        <w:t>系统按停机、启动、低负荷、稳定、高负荷切换基准，对振动、温度、电流、压力和转速计算偏离并归一化，再按设备类型赋权。健康度与关键指标越限共同决定风险，下降贡献可以回溯到指标证据。</w:t>
      </w:r>
    </w:p>
    <w:p>
      <w:pPr>
        <w:pStyle w:val="Heading2"/>
      </w:pPr>
      <w:r>
        <w:t>可追溯RAG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</w:rPr>
        <w:t>将知识条目、10个故障案例和历史工单转为带来源、设备、故障和风险元数据的文档。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</w:rPr>
        <w:t>按中文词项和双字片段计算轻量语义相关度，并支持设备/故障/风险过滤。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</w:rPr>
        <w:t>返回引用编号、来源、章节、片段与相关度；无结果时明确返回空，不虚构文献。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42432" cy="35905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ag-evid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590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566573"/>
          <w:sz w:val="17"/>
        </w:rPr>
        <w:t>图3  辅助研判页的RAG命中、来源、相关度和引用片段</w:t>
      </w:r>
    </w:p>
    <w:p>
      <w:pPr>
        <w:pStyle w:val="Heading2"/>
      </w:pPr>
      <w:r>
        <w:t>受控MaintenanceAgent</w:t>
      </w:r>
    </w:p>
    <w:p>
      <w:r>
        <w:t>Agent按固定能力边界调用设备状态、遥测、预警、历史、知识、库存、诊断、工单、通知和知识候选十类工具。最大步骤、超时、重复工单检测与默认人工确认防止失控；界面只显示工具步骤摘要和外部证据。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42432" cy="35905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gent-ru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590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566573"/>
          <w:sz w:val="17"/>
        </w:rPr>
        <w:t>图4  Agent执行：十项工具摘要、风险结论与人工确认状态</w:t>
      </w:r>
    </w:p>
    <w:p>
      <w:pPr>
        <w:pStyle w:val="Heading2"/>
      </w:pPr>
      <w:r>
        <w:t>豆包Provider与多模态</w:t>
      </w:r>
    </w:p>
    <w:p>
      <w:r>
        <w:t>豆包调用只在服务端读取密钥，执行超时、限流、Schema校验和一次修复重试；失败后切换规则Provider。多模态入口完成文件校验、图片展示、遥测与RAG关联；未配置视觉模型时明确不识别具体缺陷。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42432" cy="35905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multimodal-analysi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590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566573"/>
          <w:sz w:val="17"/>
        </w:rPr>
        <w:t>图5  多模态辅助：图片、当前遥测、人工检查建议与限制说明</w:t>
      </w:r>
    </w:p>
    <w:p>
      <w:r>
        <w:br w:type="page"/>
      </w:r>
    </w:p>
    <w:p>
      <w:pPr>
        <w:pStyle w:val="Heading1"/>
      </w:pPr>
      <w:r>
        <w:t>5. 1号引风机故事化案例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</w:rPr>
        <w:t>高负荷运行中振动和轴承温度持续升高，健康度降至68，触发二级预警。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</w:rPr>
        <w:t>RAG召回轴承磨损、润滑不足和联轴器不对中的可追溯案例。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</w:rPr>
        <w:t>Agent读取趋势、历史、库存与知识，建议24小时内检查。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</w:rPr>
        <w:t>3D自动定位驱动端轴承；高风险场景显示温度82℃、振动5.2 mm/s、故障概率89%。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</w:rPr>
        <w:t>库存检查通过后创建工单，按待接单→已接单→检修中→待验证→已完成推进。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</w:rPr>
        <w:t>验证后健康度恢复到92、风险变健康、预警关闭、轴承库存6→5，并形成知识候选。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42432" cy="35905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igital-twin-faul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590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566573"/>
          <w:sz w:val="17"/>
        </w:rPr>
        <w:t>图6  引风机轴承温升：故障部件、核心风险指标与维修主操作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42432" cy="35890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work-ord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589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566573"/>
          <w:sz w:val="17"/>
        </w:rPr>
        <w:t>图7  轨道式工单状态与真实业务字段</w:t>
      </w:r>
    </w:p>
    <w:p>
      <w:r>
        <w:br w:type="page"/>
      </w:r>
    </w:p>
    <w:p>
      <w:pPr>
        <w:pStyle w:val="Heading1"/>
      </w:pPr>
      <w:r>
        <w:t>6. 语义数字孪生与模型库</w:t>
      </w:r>
    </w:p>
    <w:p>
      <w:r>
        <w:t>模型库用于部件定位、故障高亮、剖视和动画联动，不追求厂家级机械复原。所有资产随构建发布，不依赖在线HDR、CDN或外部模型。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模型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LOD0三角面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LOD1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LOD2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接入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引风机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119,993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29,990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7,985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12台设备中的风机类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工业电机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1,112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704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464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模型库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轴承组件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2,132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804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452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模型库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弹性联轴器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1,204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724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484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模型库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给水泵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4,548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2,028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1,116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FWP-001/002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循环水泵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3,880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1,696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928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CWP-001/002、CLP-001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炉排减速机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2,320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1,300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652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GRB-001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空压机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4,284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1,932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1,044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ACP-001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渗滤液泵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2,940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1,212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708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LCP-001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E7490"/>
                <w:sz w:val="20"/>
              </w:rPr>
              <w:t>引风机关键验证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9"/>
              </w:rPr>
              <w:t>增强模型16/16关键语义节点通过；原模型仍可通过model=original回退；模型切换使用URL作为组件key并重置节点、材质、透明和选择状态。</w:t>
            </w:r>
          </w:p>
        </w:tc>
      </w:tr>
    </w:tbl>
    <w:p>
      <w:pPr>
        <w:spacing w:after="20"/>
      </w:pPr>
    </w:p>
    <w:p>
      <w:pPr>
        <w:pStyle w:val="Heading1"/>
      </w:pPr>
      <w:r>
        <w:t>7. 飞书原生协同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能力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实现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边界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网页免登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客户端检测、临时授权、服务端换取身份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普通浏览器使用演示用户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多维表格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工单优先recordId读写，能力级配置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未配置模块独立Mock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机器人/卡片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高风险通知、接单/暂缓、详情跳转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发送失败不回滚工单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事件/WebSocket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challenge、Token/Encrypt Key、幂等、IntentRouter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平台权限和发布需人工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Aily/妙搭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完整字段、工具、页面和验收指南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7"/>
              </w:rPr>
              <w:t>企业后台创建需人工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8. 工程质量、安全与性能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严格TypeScript、Zod写入校验、统一错误响应；不把内部堆栈返回给客户端。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Secret、Token和模型Key只存在服务端；前端构建关闭source map；日志只输出缺失变量名或脱敏错误。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Mock操作保存到当前浏览器localStorage并从固定数据重放；Feishu模式不把localStorage当正式数据源。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3D路由懒加载，模型有三档LOD；1366、1440、1920分辨率无横向溢出，Canvas宽度约680、754、1024像素。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</w:rPr>
        <w:t>npm audit生产依赖未发现漏洞；最终lint、typecheck、test、build和生产烟测结果见最终验收报告。</w:t>
      </w:r>
    </w:p>
    <w:p>
      <w:pPr>
        <w:pStyle w:val="Heading1"/>
      </w:pPr>
      <w:r>
        <w:t>9. 落地路径与价值边界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</w:rPr>
        <w:t>比赛原型：固定种子Mock、规则健康度、本地RAG、语义3D和工单闭环。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</w:rPr>
        <w:t>单场站影子运行：接入历史和只读实时数据，完成测点、单位、时钟和数据质量治理。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</w:rPr>
        <w:t>受控协同：平台审批后启用飞书/Aily/妙搭和远程Provider，关键动作保持人工确认。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</w:rPr>
        <w:t>规模化：建立模型监控、权限审计、灾备、跨场站知识治理和真实收益评估。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9B1C1C"/>
                <w:sz w:val="20"/>
              </w:rPr>
              <w:t>不宣称已实现收益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263746"/>
                <w:sz w:val="19"/>
              </w:rPr>
              <w:t>告警到接单时长、按时闭环率、重复故障召回率和缺料拦截数是后续试点指标；真实经济收益需要企业历史基线、经营口径和对照验证。</w:t>
            </w:r>
          </w:p>
        </w:tc>
      </w:tr>
    </w:tbl>
    <w:p>
      <w:pPr>
        <w:spacing w:after="20"/>
      </w:pPr>
    </w:p>
    <w:p>
      <w:pPr>
        <w:pStyle w:val="Heading1"/>
      </w:pPr>
      <w:r>
        <w:t>10. 结论</w:t>
      </w:r>
    </w:p>
    <w:p>
      <w:r>
        <w:t>烽燧智守证明了工业AI可以不止生成一句诊断：它能够基于工况和数据形成证据，调用知识、库存和工单工具，把结果推进到责任、处置、验证和沉淀。比赛版本的优势是可运行、可解释、可离线、可逐步接入；生产化的前提则是真实数据、现场验证、平台审批与专业人员决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66573"/>
        <w:sz w:val="16"/>
      </w:rPr>
      <w:t xml:space="preserve">比赛演示规则模型  |  第 </w:t>
    </w:r>
    <w:fldSimple w:instr="PAGE"/>
    <w:r>
      <w:rPr>
        <w:rFonts w:ascii="Calibri" w:hAnsi="Calibri" w:eastAsia="Microsoft YaHei"/>
        <w:color w:val="566573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566573"/>
        <w:sz w:val="17"/>
      </w:rPr>
      <w:t>烽燧智守  |  AI大赛项目附加报告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26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烽燧智守——项目附加报告（最终版）</dc:title>
  <dc:subject>垃圾焚烧发电关键设备故障预警与智能运维</dc:subject>
  <dc:creator>烽燧智守项目组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