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Comparison of Treated and Control Groups</w:t>
      </w:r>
    </w:p>
    <w:tbl>
      <w:tblPr>
        <w:tblStyle w:val="Table"/>
        <w:tblW w:type="pct" w:w="4808"/>
        <w:tblLayout w:type="fixed"/>
        <w:tblLook w:firstRow="1" w:lastRow="0" w:firstColumn="0" w:lastColumn="0" w:noHBand="0" w:noVBand="0" w:val="0020"/>
        <w:tblCaption w:val="Comparison of Treated and Control Groups"/>
      </w:tblPr>
      <w:tblGrid>
        <w:gridCol w:w="3228"/>
        <w:gridCol w:w="487"/>
        <w:gridCol w:w="792"/>
        <w:gridCol w:w="487"/>
        <w:gridCol w:w="792"/>
        <w:gridCol w:w="1035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>
            <w:gridSpan w:val="2"/>
          </w:tcPr>
          <w:p>
            <w:pPr>
              <w:pStyle w:val="Compact"/>
            </w:pPr>
            <w:r>
              <w:t xml:space="preserve">Control (N=60300)</w:t>
            </w:r>
          </w:p>
        </w:tc>
        <w:tc>
          <w:tcPr>
            <w:gridSpan w:val="2"/>
          </w:tcPr>
          <w:p>
            <w:pPr>
              <w:pStyle w:val="Compact"/>
            </w:pPr>
            <w:r>
              <w:t xml:space="preserve">Treated (N=20013)</w:t>
            </w:r>
          </w:p>
        </w:tc>
        <w:tc>
          <w:tcPr>
            <w:gridSpan w:val="2"/>
          </w:tcPr>
          <w:p>
            <w:pPr>
              <w:pStyle w:val="Compact"/>
            </w:pP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  <w:r>
              <w:t xml:space="preserve">Std. Dev.</w:t>
            </w:r>
          </w:p>
        </w:tc>
        <w:tc>
          <w:tcPr/>
          <w:p>
            <w:pPr>
              <w:pStyle w:val="Compact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  <w:r>
              <w:t xml:space="preserve">Std. Dev.</w:t>
            </w:r>
          </w:p>
        </w:tc>
        <w:tc>
          <w:tcPr/>
          <w:p>
            <w:pPr>
              <w:pStyle w:val="Compact"/>
            </w:pPr>
            <w:r>
              <w:t xml:space="preserve">Diff. in Means</w:t>
            </w:r>
          </w:p>
        </w:tc>
        <w:tc>
          <w:tcPr/>
          <w:p>
            <w:pPr>
              <w:pStyle w:val="Compact"/>
            </w:pPr>
            <w:r>
              <w:t xml:space="preserve">Std. Error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Total Suicide Rate (per 100k)</w:t>
            </w:r>
          </w:p>
        </w:tc>
        <w:tc>
          <w:tcPr/>
          <w:p>
            <w:pPr>
              <w:pStyle w:val="Compact"/>
            </w:pPr>
            <w:r>
              <w:t xml:space="preserve">13.8</w:t>
            </w:r>
          </w:p>
        </w:tc>
        <w:tc>
          <w:tcPr/>
          <w:p>
            <w:pPr>
              <w:pStyle w:val="Compact"/>
            </w:pPr>
            <w:r>
              <w:t xml:space="preserve">15.2</w:t>
            </w:r>
          </w:p>
        </w:tc>
        <w:tc>
          <w:tcPr/>
          <w:p>
            <w:pPr>
              <w:pStyle w:val="Compact"/>
            </w:pPr>
            <w:r>
              <w:t xml:space="preserve">13.3</w:t>
            </w:r>
          </w:p>
        </w:tc>
        <w:tc>
          <w:tcPr/>
          <w:p>
            <w:pPr>
              <w:pStyle w:val="Compact"/>
            </w:pPr>
            <w:r>
              <w:t xml:space="preserve">10.2</w:t>
            </w:r>
          </w:p>
        </w:tc>
        <w:tc>
          <w:tcPr/>
          <w:p>
            <w:pPr>
              <w:pStyle w:val="Compact"/>
            </w:pPr>
            <w:r>
              <w:t xml:space="preserve">-0.4</w:t>
            </w:r>
          </w:p>
        </w:tc>
        <w:tc>
          <w:tcPr/>
          <w:p>
            <w:pPr>
              <w:pStyle w:val="Compac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Firearm Suicide Rate (per 100k)</w:t>
            </w:r>
          </w:p>
        </w:tc>
        <w:tc>
          <w:tcPr/>
          <w:p>
            <w:pPr>
              <w:pStyle w:val="Compact"/>
            </w:pPr>
            <w:r>
              <w:t xml:space="preserve">8.7</w:t>
            </w:r>
          </w:p>
        </w:tc>
        <w:tc>
          <w:tcPr/>
          <w:p>
            <w:pPr>
              <w:pStyle w:val="Compact"/>
            </w:pPr>
            <w:r>
              <w:t xml:space="preserve">11.8</w:t>
            </w:r>
          </w:p>
        </w:tc>
        <w:tc>
          <w:tcPr/>
          <w:p>
            <w:pPr>
              <w:pStyle w:val="Compact"/>
            </w:pPr>
            <w:r>
              <w:t xml:space="preserve">7.6</w:t>
            </w:r>
          </w:p>
        </w:tc>
        <w:tc>
          <w:tcPr/>
          <w:p>
            <w:pPr>
              <w:pStyle w:val="Compact"/>
            </w:pPr>
            <w:r>
              <w:t xml:space="preserve">7.9</w:t>
            </w:r>
          </w:p>
        </w:tc>
        <w:tc>
          <w:tcPr/>
          <w:p>
            <w:pPr>
              <w:pStyle w:val="Compact"/>
            </w:pPr>
            <w:r>
              <w:t xml:space="preserve">-1.1</w:t>
            </w:r>
          </w:p>
        </w:tc>
        <w:tc>
          <w:tcPr/>
          <w:p>
            <w:pPr>
              <w:pStyle w:val="Compac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Men’s Firearm Suicide Rate (per 100k)</w:t>
            </w:r>
          </w:p>
        </w:tc>
        <w:tc>
          <w:tcPr/>
          <w:p>
            <w:pPr>
              <w:pStyle w:val="Compact"/>
            </w:pPr>
            <w:r>
              <w:t xml:space="preserve">15.3</w:t>
            </w:r>
          </w:p>
        </w:tc>
        <w:tc>
          <w:tcPr/>
          <w:p>
            <w:pPr>
              <w:pStyle w:val="Compact"/>
            </w:pPr>
            <w:r>
              <w:t xml:space="preserve">21.5</w:t>
            </w:r>
          </w:p>
        </w:tc>
        <w:tc>
          <w:tcPr/>
          <w:p>
            <w:pPr>
              <w:pStyle w:val="Compact"/>
            </w:pPr>
            <w:r>
              <w:t xml:space="preserve">13.5</w:t>
            </w:r>
          </w:p>
        </w:tc>
        <w:tc>
          <w:tcPr/>
          <w:p>
            <w:pPr>
              <w:pStyle w:val="Compact"/>
            </w:pPr>
            <w:r>
              <w:t xml:space="preserve">14.1</w:t>
            </w:r>
          </w:p>
        </w:tc>
        <w:tc>
          <w:tcPr/>
          <w:p>
            <w:pPr>
              <w:pStyle w:val="Compact"/>
            </w:pPr>
            <w:r>
              <w:t xml:space="preserve">-1.9</w:t>
            </w:r>
          </w:p>
        </w:tc>
        <w:tc>
          <w:tcPr/>
          <w:p>
            <w:pPr>
              <w:pStyle w:val="Compac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Firearm Suicide Rate Aged 55+ (per 100k)</w:t>
            </w:r>
          </w:p>
        </w:tc>
        <w:tc>
          <w:tcPr/>
          <w:p>
            <w:pPr>
              <w:pStyle w:val="Compact"/>
            </w:pPr>
            <w:r>
              <w:t xml:space="preserve">27.1</w:t>
            </w:r>
          </w:p>
        </w:tc>
        <w:tc>
          <w:tcPr/>
          <w:p>
            <w:pPr>
              <w:pStyle w:val="Compact"/>
            </w:pPr>
            <w:r>
              <w:t xml:space="preserve">246.0</w:t>
            </w:r>
          </w:p>
        </w:tc>
        <w:tc>
          <w:tcPr/>
          <w:p>
            <w:pPr>
              <w:pStyle w:val="Compact"/>
            </w:pPr>
            <w:r>
              <w:t xml:space="preserve">18.6</w:t>
            </w:r>
          </w:p>
        </w:tc>
        <w:tc>
          <w:tcPr/>
          <w:p>
            <w:pPr>
              <w:pStyle w:val="Compact"/>
            </w:pPr>
            <w:r>
              <w:t xml:space="preserve">119.7</w:t>
            </w:r>
          </w:p>
        </w:tc>
        <w:tc>
          <w:tcPr/>
          <w:p>
            <w:pPr>
              <w:pStyle w:val="Compact"/>
            </w:pPr>
            <w:r>
              <w:t xml:space="preserve">-8.5</w:t>
            </w:r>
          </w:p>
        </w:tc>
        <w:tc>
          <w:tcPr/>
          <w:p>
            <w:pPr>
              <w:pStyle w:val="Compact"/>
            </w:pPr>
            <w:r>
              <w:t xml:space="preserve">1.3</w:t>
            </w:r>
          </w:p>
        </w:tc>
      </w:tr>
      <w:tr>
        <w:tc>
          <w:tcPr/>
          <w:p>
            <w:pPr>
              <w:pStyle w:val="Compact"/>
            </w:pPr>
            <w:r>
              <w:t xml:space="preserve">White Individuals’ Firearm Suicide Rate (per 100k)</w:t>
            </w:r>
          </w:p>
        </w:tc>
        <w:tc>
          <w:tcPr/>
          <w:p>
            <w:pPr>
              <w:pStyle w:val="Compact"/>
            </w:pPr>
            <w:r>
              <w:t xml:space="preserve">17.3</w:t>
            </w:r>
          </w:p>
        </w:tc>
        <w:tc>
          <w:tcPr/>
          <w:p>
            <w:pPr>
              <w:pStyle w:val="Compact"/>
            </w:pPr>
            <w:r>
              <w:t xml:space="preserve">99.5</w:t>
            </w:r>
          </w:p>
        </w:tc>
        <w:tc>
          <w:tcPr/>
          <w:p>
            <w:pPr>
              <w:pStyle w:val="Compact"/>
            </w:pPr>
            <w:r>
              <w:t xml:space="preserve">12.6</w:t>
            </w:r>
          </w:p>
        </w:tc>
        <w:tc>
          <w:tcPr/>
          <w:p>
            <w:pPr>
              <w:pStyle w:val="Compact"/>
            </w:pPr>
            <w:r>
              <w:t xml:space="preserve">92.6</w:t>
            </w:r>
          </w:p>
        </w:tc>
        <w:tc>
          <w:tcPr/>
          <w:p>
            <w:pPr>
              <w:pStyle w:val="Compact"/>
            </w:pPr>
            <w:r>
              <w:t xml:space="preserve">-4.7</w:t>
            </w:r>
          </w:p>
        </w:tc>
        <w:tc>
          <w:tcPr/>
          <w:p>
            <w:pPr>
              <w:pStyle w:val="Compac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Non-Firearm Suicide Rate (per 100k)</w:t>
            </w:r>
          </w:p>
        </w:tc>
        <w:tc>
          <w:tcPr/>
          <w:p>
            <w:pPr>
              <w:pStyle w:val="Compact"/>
            </w:pPr>
            <w:r>
              <w:t xml:space="preserve">5.0</w:t>
            </w:r>
          </w:p>
        </w:tc>
        <w:tc>
          <w:tcPr/>
          <w:p>
            <w:pPr>
              <w:pStyle w:val="Compact"/>
            </w:pPr>
            <w:r>
              <w:t xml:space="preserve">8.1</w:t>
            </w:r>
          </w:p>
        </w:tc>
        <w:tc>
          <w:tcPr/>
          <w:p>
            <w:pPr>
              <w:pStyle w:val="Compact"/>
            </w:pPr>
            <w:r>
              <w:t xml:space="preserve">5.7</w:t>
            </w:r>
          </w:p>
        </w:tc>
        <w:tc>
          <w:tcPr/>
          <w:p>
            <w:pPr>
              <w:pStyle w:val="Compact"/>
            </w:pPr>
            <w:r>
              <w:t xml:space="preserve">5.6</w:t>
            </w:r>
          </w:p>
        </w:tc>
        <w:tc>
          <w:tcPr/>
          <w:p>
            <w:pPr>
              <w:pStyle w:val="Compact"/>
            </w:pPr>
            <w:r>
              <w:t xml:space="preserve">0.6</w:t>
            </w:r>
          </w:p>
        </w:tc>
        <w:tc>
          <w:tcPr/>
          <w:p>
            <w:pPr>
              <w:pStyle w:val="Compac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</w:pPr>
            <w:r>
              <w:t xml:space="preserve">Female Population Share</w:t>
            </w:r>
          </w:p>
        </w:tc>
        <w:tc>
          <w:tcPr/>
          <w:p>
            <w:pPr>
              <w:pStyle w:val="Compact"/>
            </w:pPr>
            <w:r>
              <w:t xml:space="preserve">0.5</w:t>
            </w:r>
          </w:p>
        </w:tc>
        <w:tc>
          <w:tcPr/>
          <w:p>
            <w:pPr>
              <w:pStyle w:val="Compact"/>
            </w:pPr>
            <w:r>
              <w:t xml:space="preserve">0.0</w:t>
            </w:r>
          </w:p>
        </w:tc>
        <w:tc>
          <w:tcPr/>
          <w:p>
            <w:pPr>
              <w:pStyle w:val="Compact"/>
            </w:pPr>
            <w:r>
              <w:t xml:space="preserve">0.5</w:t>
            </w:r>
          </w:p>
        </w:tc>
        <w:tc>
          <w:tcPr/>
          <w:p>
            <w:pPr>
              <w:pStyle w:val="Compact"/>
            </w:pPr>
            <w:r>
              <w:t xml:space="preserve">0.0</w:t>
            </w:r>
          </w:p>
        </w:tc>
        <w:tc>
          <w:tcPr/>
          <w:p>
            <w:pPr>
              <w:pStyle w:val="Compact"/>
            </w:pPr>
            <w:r>
              <w:t xml:space="preserve">0.0</w:t>
            </w:r>
          </w:p>
        </w:tc>
        <w:tc>
          <w:tcPr/>
          <w:p>
            <w:pPr>
              <w:pStyle w:val="Compac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College Educated (%)</w:t>
            </w:r>
          </w:p>
        </w:tc>
        <w:tc>
          <w:tcPr/>
          <w:p>
            <w:pPr>
              <w:pStyle w:val="Compact"/>
            </w:pPr>
            <w:r>
              <w:t xml:space="preserve">0.1</w:t>
            </w:r>
          </w:p>
        </w:tc>
        <w:tc>
          <w:tcPr/>
          <w:p>
            <w:pPr>
              <w:pStyle w:val="Compact"/>
            </w:pPr>
            <w:r>
              <w:t xml:space="preserve">1.4</w:t>
            </w:r>
          </w:p>
        </w:tc>
        <w:tc>
          <w:tcPr/>
          <w:p>
            <w:pPr>
              <w:pStyle w:val="Compact"/>
            </w:pPr>
            <w:r>
              <w:t xml:space="preserve">0.1</w:t>
            </w:r>
          </w:p>
        </w:tc>
        <w:tc>
          <w:tcPr/>
          <w:p>
            <w:pPr>
              <w:pStyle w:val="Compact"/>
            </w:pPr>
            <w:r>
              <w:t xml:space="preserve">0.8</w:t>
            </w:r>
          </w:p>
        </w:tc>
        <w:tc>
          <w:tcPr/>
          <w:p>
            <w:pPr>
              <w:pStyle w:val="Compact"/>
            </w:pPr>
            <w:r>
              <w:t xml:space="preserve">0.0</w:t>
            </w:r>
          </w:p>
        </w:tc>
        <w:tc>
          <w:tcPr/>
          <w:p>
            <w:pPr>
              <w:pStyle w:val="Compac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Below Poverty Line (%)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2.4</w:t>
            </w:r>
          </w:p>
        </w:tc>
        <w:tc>
          <w:tcPr/>
          <w:p>
            <w:pPr>
              <w:pStyle w:val="Compact"/>
            </w:pPr>
            <w:r>
              <w:t xml:space="preserve">0.1</w:t>
            </w:r>
          </w:p>
        </w:tc>
        <w:tc>
          <w:tcPr/>
          <w:p>
            <w:pPr>
              <w:pStyle w:val="Compact"/>
            </w:pPr>
            <w:r>
              <w:t xml:space="preserve">1.3</w:t>
            </w:r>
          </w:p>
        </w:tc>
        <w:tc>
          <w:tcPr/>
          <w:p>
            <w:pPr>
              <w:pStyle w:val="Compact"/>
            </w:pPr>
            <w:r>
              <w:t xml:space="preserve">-0.2</w:t>
            </w:r>
          </w:p>
        </w:tc>
        <w:tc>
          <w:tcPr/>
          <w:p>
            <w:pPr>
              <w:pStyle w:val="Compact"/>
            </w:pPr>
            <w:r>
              <w:t xml:space="preserve">0.0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2025-05-08T01:03:10Z</dcterms:created>
  <dcterms:modified xsi:type="dcterms:W3CDTF">2025-05-08T01:03:10Z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