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/>
          <w:b/>
          <w:i w:val="0"/>
          <w:color w:val="16324F"/>
          <w:sz w:val="48"/>
        </w:rPr>
        <w:t>Документация проекта «Диспетчер»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667085"/>
          <w:sz w:val="26"/>
        </w:rPr>
        <w:t>Единый навигатор по итоговым материалам</w:t>
      </w:r>
    </w:p>
    <w:p>
      <w:pPr>
        <w:spacing w:before="0" w:after="320" w:line="288" w:lineRule="auto"/>
        <w:ind w:left="173" w:right="173"/>
        <w:shd w:fill="F4F7FA"/>
      </w:pPr>
      <w:r>
        <w:rPr>
          <w:rFonts w:ascii="Calibri" w:hAnsi="Calibri"/>
          <w:b/>
          <w:i w:val="0"/>
          <w:color w:val="16324F"/>
          <w:sz w:val="22"/>
        </w:rPr>
        <w:t xml:space="preserve">Назначение. </w:t>
      </w:r>
      <w:r>
        <w:rPr>
          <w:rFonts w:ascii="Calibri" w:hAnsi="Calibri"/>
          <w:b w:val="0"/>
          <w:i w:val="0"/>
          <w:color w:val="202124"/>
          <w:sz w:val="22"/>
        </w:rPr>
        <w:t>Этот файл является единой точкой входа в проектную документацию. Ссылки на локальные файлы относительные: они сохранят работоспособность при переносе проекта целиком.</w:t>
      </w:r>
    </w:p>
    <w:p>
      <w:pPr>
        <w:pStyle w:val="Heading1"/>
      </w:pPr>
      <w:r>
        <w:t>Итоговые материалы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W w:w="9360" w:type="dxa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00"/>
        <w:gridCol w:w="3100"/>
        <w:gridCol w:w="5660"/>
      </w:tblGrid>
      <w:tr>
        <w:trPr>
          <w:cantSplit/>
          <w:tblHeader w:val="true"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1"/>
              </w:rPr>
              <w:t>№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6324F"/>
                <w:sz w:val="21"/>
              </w:rPr>
              <w:t>Материал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6324F"/>
                <w:sz w:val="21"/>
              </w:rPr>
              <w:t>Краткое содержание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0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hyperlink r:id="rId11">
              <w:r>
                <w:rPr>
                  <w:color w:val="2E74B5"/>
                  <w:u w:val="single"/>
                  <w:rFonts w:ascii="Calibri" w:hAnsi="Calibri"/>
                  <w:sz w:val="22"/>
                  <w:b/>
                </w:rPr>
                <w:t>Ролевая модель</w:t>
              </w:r>
            </w:hyperlink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alert-platform/docs/01-role-model.docx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Роли пользователей и сервисных учетных записей, матрица полномочий, разделение обязанностей, жизненный цикл доступа и аудит.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0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hyperlink r:id="rId12">
              <w:r>
                <w:rPr>
                  <w:color w:val="2E74B5"/>
                  <w:u w:val="single"/>
                  <w:rFonts w:ascii="Calibri" w:hAnsi="Calibri"/>
                  <w:sz w:val="22"/>
                  <w:b/>
                </w:rPr>
                <w:t>Безопасность</w:t>
              </w:r>
            </w:hyperlink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alert-platform/docs/02-security.docx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Активы и границы доверия, модель угроз, аутентификация и авторизация, защита секретов, контейнеров, данных, резервных копий и процессов реагирования.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0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hyperlink r:id="rId13">
              <w:r>
                <w:rPr>
                  <w:color w:val="2E74B5"/>
                  <w:u w:val="single"/>
                  <w:rFonts w:ascii="Calibri" w:hAnsi="Calibri"/>
                  <w:sz w:val="22"/>
                  <w:b/>
                </w:rPr>
                <w:t>Изолированная АСУ ТП: модель потоков</w:t>
              </w:r>
            </w:hyperlink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alert-platform/docs/03-asutp-isolated-flow-model.docx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Потоки событий в изолированном промышленном контуре, DFD-схемы, правила администрирования, деградации, отказоустойчивость и требования к межсетевому взаимодействию.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0"/>
              </w:rPr>
              <w:t>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hyperlink r:id="rId14">
              <w:r>
                <w:rPr>
                  <w:color w:val="2E74B5"/>
                  <w:u w:val="single"/>
                  <w:rFonts w:ascii="Calibri" w:hAnsi="Calibri"/>
                  <w:sz w:val="22"/>
                  <w:b/>
                </w:rPr>
                <w:t>Внешнее и сетевое взаимодействие</w:t>
              </w:r>
            </w:hyperlink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alert-platform/docs/04-external-network-interactions.docx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Сетевые зоны, внешние интеграции, направления трафика, порты, правила межсетевого экрана, DNS, NTP, PKI, мониторинг и резервное копирование.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0"/>
              </w:rPr>
              <w:t>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hyperlink r:id="rId15">
              <w:r>
                <w:rPr>
                  <w:color w:val="2E74B5"/>
                  <w:u w:val="single"/>
                  <w:rFonts w:ascii="Calibri" w:hAnsi="Calibri"/>
                  <w:sz w:val="22"/>
                  <w:b/>
                </w:rPr>
                <w:t>Лицензирование</w:t>
              </w:r>
            </w:hyperlink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alert-platform/docs/05-licensing.docx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Лицензионная модель TrueConf и используемых компонентов, обязательства по открытому ПО, закупочные границы, риски и контроль состава поставки.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0"/>
              </w:rPr>
              <w:t>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hyperlink r:id="rId16">
              <w:r>
                <w:rPr>
                  <w:color w:val="2E74B5"/>
                  <w:u w:val="single"/>
                  <w:rFonts w:ascii="Calibri" w:hAnsi="Calibri"/>
                  <w:sz w:val="22"/>
                  <w:b/>
                </w:rPr>
                <w:t>Инфраструктура</w:t>
              </w:r>
            </w:hyperlink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alert-platform/docs/06-infrastructure.docx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Текущая и целевая инфраструктура, состав сервисов, расчет ресурсов, хранение, резервирование, масштабирование, SLO, мониторинг, HA и DR.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0"/>
              </w:rPr>
              <w:t>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hyperlink r:id="rId17">
              <w:r>
                <w:rPr>
                  <w:color w:val="2E74B5"/>
                  <w:u w:val="single"/>
                  <w:rFonts w:ascii="Calibri" w:hAnsi="Calibri"/>
                  <w:sz w:val="22"/>
                  <w:b/>
                </w:rPr>
                <w:t>Концептуальная схема приложения</w:t>
              </w:r>
            </w:hyperlink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alert-platform/docs/07-conceptual-application.docx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Контекст и компоненты приложения, доменная модель, жизненный цикл событий, маршрутизация, доставка, подтверждение, аналитика, ИИ и режимы деградации.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0"/>
              </w:rPr>
              <w:t>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hyperlink r:id="rId18">
              <w:r>
                <w:rPr>
                  <w:color w:val="2E74B5"/>
                  <w:u w:val="single"/>
                  <w:rFonts w:ascii="Calibri" w:hAnsi="Calibri"/>
                  <w:sz w:val="22"/>
                  <w:b/>
                </w:rPr>
                <w:t>Экономика платформы</w:t>
              </w:r>
            </w:hyperlink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alert-platform/docs/Экономика_платформы_Диспетчер.xlsx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Формульная модель затрат и выгод: сценарии «Студенты» и «НПЗ / МС», первоначальные инвестиции, OPEX, экономия времени и денег, ROI, NPV и точка безубыточности.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6324F"/>
                <w:sz w:val="20"/>
              </w:rPr>
              <w:t>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hyperlink r:id="rId19">
              <w:r>
                <w:rPr>
                  <w:color w:val="2E74B5"/>
                  <w:u w:val="single"/>
                  <w:rFonts w:ascii="Calibri" w:hAnsi="Calibri"/>
                  <w:sz w:val="22"/>
                  <w:b/>
                </w:rPr>
                <w:t>Исходный кейс</w:t>
              </w:r>
            </w:hyperlink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КЕЙС_студенты_ITCamp.pdf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Официальная постановка задачи Газпром нефти: исходная ситуация, пилотный периметр, целевые показатели, ожидаемые результаты и критерии оценки.</w:t>
            </w:r>
          </w:p>
        </w:tc>
      </w:tr>
    </w:tbl>
    <w:p>
      <w:pPr>
        <w:pStyle w:val="Heading1"/>
      </w:pPr>
      <w:r>
        <w:t>Внешние материалы</w:t>
      </w:r>
    </w:p>
    <w:p>
      <w:pPr>
        <w:spacing w:before="0" w:after="120" w:line="288" w:lineRule="auto"/>
        <w:ind w:left="173" w:right="173"/>
        <w:shd w:fill="FFF2CC"/>
      </w:pPr>
      <w:r>
        <w:rPr>
          <w:rFonts w:ascii="Calibri" w:hAnsi="Calibri"/>
          <w:b/>
          <w:i w:val="0"/>
          <w:color w:val="7A5A00"/>
          <w:sz w:val="22"/>
        </w:rPr>
        <w:t xml:space="preserve">Google Docs / Google Drive. </w:t>
      </w:r>
      <w:r>
        <w:rPr>
          <w:rFonts w:ascii="Calibri" w:hAnsi="Calibri"/>
          <w:b w:val="0"/>
          <w:i w:val="0"/>
          <w:color w:val="7A5A00"/>
          <w:sz w:val="22"/>
        </w:rPr>
        <w:t>Ссылка в текущей переписке и в файлах проекта не обнаружена. Место для нее зарезервировано; после получения URL его можно добавить сюда и рядом с соответствующими внешними материалами.</w:t>
      </w:r>
    </w:p>
    <w:p>
      <w:pPr>
        <w:spacing w:before="0" w:after="0" w:line="288" w:lineRule="auto"/>
      </w:pPr>
      <w:r>
        <w:rPr>
          <w:rFonts w:ascii="Calibri" w:hAnsi="Calibri"/>
          <w:b/>
          <w:i w:val="0"/>
          <w:color w:val="16324F"/>
          <w:sz w:val="21"/>
        </w:rPr>
        <w:t xml:space="preserve">Файлы DALL·E. </w:t>
      </w:r>
      <w:r>
        <w:rPr>
          <w:rFonts w:ascii="Calibri" w:hAnsi="Calibri"/>
          <w:b w:val="0"/>
          <w:i w:val="0"/>
          <w:color w:val="667085"/>
          <w:sz w:val="21"/>
        </w:rPr>
        <w:t>В рабочем каталоге файлы с таким названием или обозначением не найдены; ссылки на несуществующие материалы не добавлялись.</w:t>
      </w:r>
    </w:p>
    <w:p>
      <w:pPr>
        <w:pStyle w:val="Heading1"/>
      </w:pPr>
      <w:r>
        <w:t>Рекомендуемый порядок чтения</w:t>
      </w:r>
    </w:p>
    <w:p>
      <w:pPr>
        <w:spacing w:before="0" w:after="120" w:line="288" w:lineRule="auto"/>
        <w:ind w:left="173"/>
      </w:pPr>
      <w:r>
        <w:rPr>
          <w:rFonts w:ascii="Calibri" w:hAnsi="Calibri"/>
          <w:b/>
          <w:i w:val="0"/>
          <w:color w:val="16324F"/>
          <w:sz w:val="21"/>
        </w:rPr>
        <w:t xml:space="preserve">Постановка задачи. </w:t>
      </w:r>
      <w:r>
        <w:rPr>
          <w:rFonts w:ascii="Calibri" w:hAnsi="Calibri"/>
          <w:b w:val="0"/>
          <w:i w:val="0"/>
          <w:color w:val="202124"/>
          <w:sz w:val="21"/>
        </w:rPr>
        <w:t>Начните с исходного кейса: он задает пилотный периметр, бизнес-метрики и критерии оценки.</w:t>
      </w:r>
    </w:p>
    <w:p>
      <w:pPr>
        <w:spacing w:before="0" w:after="120" w:line="288" w:lineRule="auto"/>
        <w:ind w:left="173"/>
      </w:pPr>
      <w:r>
        <w:rPr>
          <w:rFonts w:ascii="Calibri" w:hAnsi="Calibri"/>
          <w:b/>
          <w:i w:val="0"/>
          <w:color w:val="16324F"/>
          <w:sz w:val="21"/>
        </w:rPr>
        <w:t xml:space="preserve">Устройство решения. </w:t>
      </w:r>
      <w:r>
        <w:rPr>
          <w:rFonts w:ascii="Calibri" w:hAnsi="Calibri"/>
          <w:b w:val="0"/>
          <w:i w:val="0"/>
          <w:color w:val="202124"/>
          <w:sz w:val="21"/>
        </w:rPr>
        <w:t>Затем изучите концептуальную схему, инфраструктуру, модель АСУ ТП и сетевые взаимодействия.</w:t>
      </w:r>
    </w:p>
    <w:p>
      <w:pPr>
        <w:spacing w:before="0" w:after="120" w:line="288" w:lineRule="auto"/>
        <w:ind w:left="173"/>
      </w:pPr>
      <w:r>
        <w:rPr>
          <w:rFonts w:ascii="Calibri" w:hAnsi="Calibri"/>
          <w:b/>
          <w:i w:val="0"/>
          <w:color w:val="16324F"/>
          <w:sz w:val="21"/>
        </w:rPr>
        <w:t xml:space="preserve">Управление и ограничения. </w:t>
      </w:r>
      <w:r>
        <w:rPr>
          <w:rFonts w:ascii="Calibri" w:hAnsi="Calibri"/>
          <w:b w:val="0"/>
          <w:i w:val="0"/>
          <w:color w:val="202124"/>
          <w:sz w:val="21"/>
        </w:rPr>
        <w:t>После архитектуры переходите к ролевой модели, безопасности и лицензированию.</w:t>
      </w:r>
    </w:p>
    <w:p>
      <w:pPr>
        <w:spacing w:before="0" w:after="120" w:line="288" w:lineRule="auto"/>
        <w:ind w:left="173"/>
      </w:pPr>
      <w:r>
        <w:rPr>
          <w:rFonts w:ascii="Calibri" w:hAnsi="Calibri"/>
          <w:b/>
          <w:i w:val="0"/>
          <w:color w:val="16324F"/>
          <w:sz w:val="21"/>
        </w:rPr>
        <w:t xml:space="preserve">Экономическое обоснование. </w:t>
      </w:r>
      <w:r>
        <w:rPr>
          <w:rFonts w:ascii="Calibri" w:hAnsi="Calibri"/>
          <w:b w:val="0"/>
          <w:i w:val="0"/>
          <w:color w:val="202124"/>
          <w:sz w:val="21"/>
        </w:rPr>
        <w:t>Завершите чтение формульной Excel-моделью: в ней собраны затраты, эффекты, окупаемость и чувствительность сценариев.</w:t>
      </w:r>
    </w:p>
    <w:p>
      <w:pPr>
        <w:spacing w:before="160" w:after="0" w:line="288" w:lineRule="auto"/>
        <w:ind w:left="173" w:right="173"/>
        <w:shd w:fill="F4F7FA"/>
      </w:pPr>
      <w:r>
        <w:rPr>
          <w:rFonts w:ascii="Calibri" w:hAnsi="Calibri"/>
          <w:b/>
          <w:i w:val="0"/>
          <w:color w:val="16324F"/>
          <w:sz w:val="21"/>
        </w:rPr>
        <w:t xml:space="preserve">Состав комплекта: </w:t>
      </w:r>
      <w:r>
        <w:rPr>
          <w:rFonts w:ascii="Calibri" w:hAnsi="Calibri"/>
          <w:b w:val="0"/>
          <w:i w:val="0"/>
          <w:color w:val="202124"/>
          <w:sz w:val="21"/>
        </w:rPr>
        <w:t>7 документов Word, 1 расчетная книга Excel и 1 исходный PDF-кейс.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 w:val="0"/>
        <w:i w:val="0"/>
        <w:color w:val="667085"/>
        <w:sz w:val="17"/>
      </w:rPr>
      <w:t>Платформа «Диспетчер»  |  Навигатор документации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alert-platform/docs/01-role-model.docx" TargetMode="External"/><Relationship Id="rId12" Type="http://schemas.openxmlformats.org/officeDocument/2006/relationships/hyperlink" Target="alert-platform/docs/02-security.docx" TargetMode="External"/><Relationship Id="rId13" Type="http://schemas.openxmlformats.org/officeDocument/2006/relationships/hyperlink" Target="alert-platform/docs/03-asutp-isolated-flow-model.docx" TargetMode="External"/><Relationship Id="rId14" Type="http://schemas.openxmlformats.org/officeDocument/2006/relationships/hyperlink" Target="alert-platform/docs/04-external-network-interactions.docx" TargetMode="External"/><Relationship Id="rId15" Type="http://schemas.openxmlformats.org/officeDocument/2006/relationships/hyperlink" Target="alert-platform/docs/05-licensing.docx" TargetMode="External"/><Relationship Id="rId16" Type="http://schemas.openxmlformats.org/officeDocument/2006/relationships/hyperlink" Target="alert-platform/docs/06-infrastructure.docx" TargetMode="External"/><Relationship Id="rId17" Type="http://schemas.openxmlformats.org/officeDocument/2006/relationships/hyperlink" Target="alert-platform/docs/07-conceptual-application.docx" TargetMode="External"/><Relationship Id="rId18" Type="http://schemas.openxmlformats.org/officeDocument/2006/relationships/hyperlink" Target="alert-platform/docs/%D0%AD%D0%BA%D0%BE%D0%BD%D0%BE%D0%BC%D0%B8%D0%BA%D0%B0_%D0%BF%D0%BB%D0%B0%D1%82%D1%84%D0%BE%D1%80%D0%BC%D1%8B_%D0%94%D0%B8%D1%81%D0%BF%D0%B5%D1%82%D1%87%D0%B5%D1%80.xlsx" TargetMode="External"/><Relationship Id="rId19" Type="http://schemas.openxmlformats.org/officeDocument/2006/relationships/hyperlink" Target="%D0%9A%D0%95%D0%99%D0%A1_%D1%81%D1%82%D1%83%D0%B4%D0%B5%D0%BD%D1%82%D1%8B_ITCam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проекта «Диспетчер»</dc:title>
  <dc:subject>Навигатор по итоговым материалам проекта</dc:subject>
  <dc:creator>Проектная команда</dc:creator>
  <cp:keywords>Диспетчер, документация, Газпром нефть, навигатор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