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自动生成ppt报告需求分析总结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一：工作流向导模式：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通过引导试的工作流方式，逐步生成ppt报告或excel文档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每一次工作流生成1-9张ppt报告（包含相应的中间表excel文件），具体生成哪几张由客户勾选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二：全局filter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（在选择全局变量时，客户只关心哪些数据需要保留，不关心数据的分组展示模式）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 states（本轮，string类型，如69PR 70PR 对比轮比本轮时间靠前，可跨多轮）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对于只涉及本轮累积分组显示的report时，将只被全局的PR states影响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对于既涉及本轮，又涉及对比轮的report时，将同时被两轮的选择影响，对比轮需要在私有filter选择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year range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（int 类型，单选，最小年为选择的PR states开始年，最大年由为选择的PR states结束年，默认值最大年，单轮往前多显示1年）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选择计算统计年的范围，在做累积、分组、对比计算时，只对year range范围内的年数计算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选择的当前+1之后年都加E（小于等于当前年不加E）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Type</w:t>
      </w:r>
      <w:r>
        <w:rPr>
          <w:rFonts w:hint="eastAsia"/>
          <w:lang w:val="en-US" w:eastAsia="zh-CN"/>
        </w:rPr>
        <w:t xml:space="preserve"> 能全选能多选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国产车CKD/进口车FBU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OEM与Brand（OEM如faw、svw、fbu，Brand如audi、vw、skoda）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属于多选菜单，且相互限制，左边一列都是Brand，右边一列都是OEM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如果客户先选择OEM，那么在下一页的brand里就只显示已选择的OEM所包含的所有brand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如果客户先选择Brand，那么在下一页的OEM里就只显示与已选的Brand相关的所有OEM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三：私有filter和报表计算逻辑（</w:t>
      </w:r>
      <w:r>
        <w:rPr>
          <w:rFonts w:hint="eastAsia"/>
          <w:color w:val="C00000"/>
          <w:lang w:val="en-US" w:eastAsia="zh-CN"/>
        </w:rPr>
        <w:t>需要确认哪一个环节需要生成中间表或excel文件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4265" cy="2680335"/>
            <wp:effectExtent l="0" t="0" r="6985" b="5715"/>
            <wp:docPr id="1" name="图片 1" descr="81e57962d05307d8231b238cd2ee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e57962d05307d8231b238cd2eef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没有私有 filte，不用选fuel type group，默认ICE和NEV两类都显示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本轮（PR states）的对应年，NEV车与ICE车的volume总和与占比，具体显示本轮后的多少年，由全局filter的year range决定（显示提前1年）（不显示百分比），</w:t>
      </w:r>
      <w:r>
        <w:rPr>
          <w:rFonts w:hint="eastAsia"/>
          <w:color w:val="FF0000"/>
          <w:shd w:val="clear" w:color="auto" w:fill="auto"/>
          <w:lang w:val="en-US" w:eastAsia="zh-CN"/>
        </w:rPr>
        <w:t>确认显示单位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点线图算法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选中车的volume（ice+nve）</w:t>
      </w:r>
      <w:r>
        <w:rPr>
          <w:rFonts w:hint="eastAsia"/>
          <w:lang w:val="en-US" w:eastAsia="zh-CN"/>
        </w:rPr>
        <w:t xml:space="preserve"> /全市场volume的占比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选中车的ice车volume 在全部车市场ice车的volume的占比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选中车的nev车volume 在全部车市场nev（bev+phev）车的volume的占比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Report2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6805" cy="2912745"/>
            <wp:effectExtent l="0" t="0" r="10795" b="8255"/>
            <wp:docPr id="2" name="图片 2" descr="b96ca07698fc98c36b5b130721a8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6ca07698fc98c36b5b130721a8b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选择Fuel type，分别为 ice/bev/phev可多选全选（在报表中是否需要标识保留的Fuel type）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选择按OEM显示，还是按Brand显示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选择MS的分母是单项市场还是全市场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曲线的算法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涉及到多少个Brand（或OEM）就显示几个Brand（或OEM）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选中的所有Brand（或OEM）的volume之和与当年分类市场/全市场volume的比（可以配置成单项分子，和全市场分母），</w:t>
      </w:r>
      <w:r>
        <w:rPr>
          <w:rFonts w:hint="eastAsia"/>
          <w:sz w:val="22"/>
          <w:lang w:val="en-US" w:eastAsia="zh-CN"/>
        </w:rPr>
        <w:t>线图audi不分豪华车和其他车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表格的算法</w:t>
      </w:r>
    </w:p>
    <w:p>
      <w:pPr>
        <w:spacing w:beforeLines="0" w:afterLines="0"/>
        <w:ind w:firstLine="42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算法与柱状图一样，只多显示一行volume</w:t>
      </w:r>
    </w:p>
    <w:p>
      <w:pPr>
        <w:spacing w:beforeLines="0" w:afterLines="0"/>
        <w:ind w:firstLine="420" w:firstLineChars="0"/>
        <w:rPr>
          <w:rFonts w:hint="default"/>
          <w:sz w:val="22"/>
          <w:lang w:val="en-US" w:eastAsia="zh-CN"/>
        </w:rPr>
      </w:pPr>
      <w:r>
        <w:rPr>
          <w:rFonts w:hint="default"/>
          <w:sz w:val="22"/>
        </w:rPr>
        <w:t>Audi</w:t>
      </w:r>
      <w:r>
        <w:rPr>
          <w:rFonts w:hint="eastAsia"/>
          <w:sz w:val="22"/>
          <w:lang w:val="en-US" w:eastAsia="zh-CN"/>
        </w:rPr>
        <w:t>的市场占比，要分</w:t>
      </w:r>
      <w:r>
        <w:rPr>
          <w:rFonts w:hint="eastAsia"/>
          <w:sz w:val="22"/>
        </w:rPr>
        <w:t>豪华车（</w:t>
      </w:r>
      <w:r>
        <w:rPr>
          <w:rFonts w:hint="default"/>
          <w:sz w:val="22"/>
        </w:rPr>
        <w:t>premium</w:t>
      </w:r>
      <w:r>
        <w:rPr>
          <w:rFonts w:hint="eastAsia"/>
          <w:sz w:val="22"/>
        </w:rPr>
        <w:t>）和其它车</w:t>
      </w:r>
      <w:r>
        <w:rPr>
          <w:rFonts w:hint="eastAsia"/>
          <w:sz w:val="22"/>
          <w:lang w:val="en-US" w:eastAsia="zh-CN"/>
        </w:rPr>
        <w:t>。</w:t>
      </w:r>
    </w:p>
    <w:p>
      <w:pPr>
        <w:spacing w:beforeLines="0" w:afterLines="0"/>
        <w:ind w:firstLine="42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按OEM显示时不涉及Audi豪华车单独处理的问题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Report3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5535" cy="2727325"/>
            <wp:effectExtent l="0" t="0" r="12065" b="3175"/>
            <wp:docPr id="3" name="图片 3" descr="cefe92626774918d265b063e39fe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fe92626774918d265b063e39fe8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选择Fuel type，分别为 ice/bev/phev，只能单选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选择按OEM显示，还是按Brand显示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选择MS的分母是单项市场还是全市场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选中的所有Brand（或OEM）的某一个Fuel type的volume，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点线图算法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选中的所有Brand（或OEM）的某一个Fuel type的volume之和与分类市场或当年全市场volume的比，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（增加配置，选择是全市场还是分类市场计算）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每两行为一组，第一行为选中的每个brand（或OEM）的所有选中的Fuel type的volume。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第二行为选中的每一个brand（或OEM）的所有选中的Fuel type的volume与分类市场或当年全市场volume的比</w:t>
      </w:r>
    </w:p>
    <w:p>
      <w:pPr>
        <w:numPr>
          <w:ilvl w:val="0"/>
          <w:numId w:val="0"/>
        </w:numPr>
        <w:jc w:val="left"/>
        <w:rPr>
          <w:rFonts w:hint="default"/>
          <w:sz w:val="22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Report4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4900" cy="2275840"/>
            <wp:effectExtent l="0" t="0" r="0" b="10160"/>
            <wp:docPr id="4" name="图片 4" descr="1299bdf68a1e4b559990a25de2e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99bdf68a1e4b559990a25de2e98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选择Fuel type group，分别为 ice/nev（只能单选）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选择Platform Family，可多选全选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选择按OEM显示，还是按Brand显示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选择MS的分母是单项市场还是全市场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选中的所有Brand（或OEM）的某个Fuel type group的volume之和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点线图算法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选中的所有Brand（或OEM）的某个Fuel type group的volume之和与分类市场或当年全市场volume的比。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选中的所有Brand（或OEM）的每个平台的volume之和，一年一年的算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平台按用户的选择显示，选择几个平台，表格的第一列就显示几个平台。如果是选择平台之外的车，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那么如果选ice都归到other，如果选择nev，归到phev和 other nev（bev+其他）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Report5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4265" cy="2967355"/>
            <wp:effectExtent l="0" t="0" r="635" b="4445"/>
            <wp:docPr id="5" name="图片 5" descr="c6cb06aa5014f45281b075fa1193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6cb06aa5014f45281b075fa1193e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选择对比PR states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选择Fuel type group，分别为 ice/nev可多选全选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选择按OEM显示，还是按Brand显示</w:t>
      </w:r>
    </w:p>
    <w:p>
      <w:pPr>
        <w:numPr>
          <w:ilvl w:val="0"/>
          <w:numId w:val="9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瀑布图算法：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第一根柱子为对比PR states，选中的Brand（或OEM）及Fuel type的 volume之和，称对比volume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最后根柱子为本轮PR states，选中的Brand（或OEM）及Fuel type的 volume之和，称本轮volume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Market effect：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Volume：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market rate=本轮total mkt volume/对比total mkt volume - 1 （简称Rate）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Market effect volume = Rate*对比volume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（ICE与NEV分别算，model by model，再累加） 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本轮volume/对比volume - 1（ICE与NEV分别算，model by model，再累加）？？？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Brand（OEM）change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每个model change=本轮vol-对比vol-每个model的Total Market effect volume（Rate*对比volume）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change=同一个brand（或OEM）的所有的model change累加</w:t>
      </w:r>
    </w:p>
    <w:p>
      <w:pPr>
        <w:numPr>
          <w:ilvl w:val="0"/>
          <w:numId w:val="9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箭头线算法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本轮volume-对比volume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（本轮volume-对比volume）/对比volume</w:t>
      </w:r>
    </w:p>
    <w:p>
      <w:pPr>
        <w:numPr>
          <w:ilvl w:val="0"/>
          <w:numId w:val="9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表格算法：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将柱状图逐年拆分开，在year range所选范围内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第一行，拆Total Market effect volume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后面剩余行，拆Brand（OEM）change</w:t>
      </w:r>
    </w:p>
    <w:p>
      <w:pPr>
        <w:numPr>
          <w:ilvl w:val="0"/>
          <w:numId w:val="9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Excel的算法：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生成4张excel（需要的字段：OEM、Brand、Model，year，fueltype、fueltype group、volume）</w:t>
      </w:r>
    </w:p>
    <w:p>
      <w:pPr>
        <w:numPr>
          <w:ilvl w:val="0"/>
          <w:numId w:val="1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Market effect volume</w:t>
      </w:r>
    </w:p>
    <w:p>
      <w:pPr>
        <w:numPr>
          <w:ilvl w:val="0"/>
          <w:numId w:val="14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Brand（或OEM）change volume（by model by year）</w:t>
      </w:r>
    </w:p>
    <w:p>
      <w:pPr>
        <w:numPr>
          <w:ilvl w:val="0"/>
          <w:numId w:val="14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本轮的 volume（by model by year）</w:t>
      </w:r>
    </w:p>
    <w:p>
      <w:pPr>
        <w:numPr>
          <w:ilvl w:val="0"/>
          <w:numId w:val="14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对比轮的 volume（by model by year）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Report6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3630" cy="2886075"/>
            <wp:effectExtent l="0" t="0" r="1270" b="9525"/>
            <wp:docPr id="6" name="图片 6" descr="c141d1e301e9027f985ce2d357ed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41d1e301e9027f985ce2d357ed38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选择对比轮PR states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选择Fuel type group，分别为 ice/nev可多选全选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第一根柱子：对比PR states，选中的Brand（或OEM）及Fueltype的 volume之和，称对比volume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最后根柱子：本轮PR states，选中的Brand（或OEM）及Fueltype的 volume之和，称本轮volume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Market effect：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同report5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effect = New model family volume - Cancel model family volume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（1）volume</w:t>
      </w:r>
    </w:p>
    <w:p>
      <w:pPr>
        <w:numPr>
          <w:ilvl w:val="0"/>
          <w:numId w:val="1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model family volume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本轮 model family与对比轮 model family，如发现对本轮有的model family，但是对比轮完全没有的model family，按年累加本轮该model family的总量。（再把所有model family volume累加）</w:t>
      </w:r>
    </w:p>
    <w:p>
      <w:pPr>
        <w:numPr>
          <w:ilvl w:val="0"/>
          <w:numId w:val="1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 model family volume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family与对比轮 model family，如发现对比轮有的model family，但是本轮完全没有的model family，按年累加对比轮该model family的总量。（再把所有model family volume累加）。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（2）percent 需要确认</w:t>
      </w:r>
    </w:p>
    <w:p>
      <w:pPr>
        <w:numPr>
          <w:numId w:val="0"/>
        </w:numPr>
        <w:ind w:left="420" w:leftChars="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Cycle Plan effect=SOP delay + </w:t>
      </w:r>
      <w:r>
        <w:rPr>
          <w:rFonts w:hint="eastAsia"/>
          <w:color w:val="FF0000"/>
          <w:lang w:val="en-US" w:eastAsia="zh-CN"/>
        </w:rPr>
        <w:t>SOP forward</w:t>
      </w:r>
      <w:r>
        <w:rPr>
          <w:rFonts w:hint="eastAsia"/>
          <w:lang w:val="en-US" w:eastAsia="zh-CN"/>
        </w:rPr>
        <w:t xml:space="preserve"> + EOP delay + EOP forward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 delay</w:t>
      </w:r>
    </w:p>
    <w:p>
      <w:pPr>
        <w:spacing w:beforeLines="0" w:afterLines="0"/>
        <w:ind w:left="420" w:leftChars="0" w:firstLine="42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Delay 年数 0 1 2 ....n，n不是按照SOP delay的年份计算，而是按实际排产的delay计算的</w:t>
      </w:r>
    </w:p>
    <w:p>
      <w:pPr>
        <w:spacing w:beforeLines="0" w:afterLines="0"/>
        <w:ind w:left="840" w:leftChars="0" w:firstLine="420" w:firstLineChars="0"/>
        <w:rPr>
          <w:rFonts w:hint="default"/>
          <w:sz w:val="22"/>
        </w:rPr>
      </w:pPr>
      <w:r>
        <w:rPr>
          <w:rFonts w:hint="eastAsia"/>
          <w:sz w:val="22"/>
          <w:lang w:val="en-US" w:eastAsia="zh-CN"/>
        </w:rPr>
        <w:t>对比</w:t>
      </w:r>
      <w:r>
        <w:rPr>
          <w:rFonts w:hint="eastAsia"/>
          <w:sz w:val="22"/>
        </w:rPr>
        <w:t>轮</w:t>
      </w:r>
      <w:r>
        <w:rPr>
          <w:rFonts w:hint="eastAsia"/>
          <w:sz w:val="22"/>
          <w:lang w:val="en-US" w:eastAsia="zh-CN"/>
        </w:rPr>
        <w:t xml:space="preserve">year+n的 </w:t>
      </w:r>
      <w:r>
        <w:rPr>
          <w:rFonts w:hint="default"/>
          <w:sz w:val="22"/>
        </w:rPr>
        <w:t>vol/total vol =</w:t>
      </w:r>
      <w:r>
        <w:rPr>
          <w:rFonts w:hint="eastAsia"/>
          <w:sz w:val="22"/>
          <w:lang w:val="en-US" w:eastAsia="zh-CN"/>
        </w:rPr>
        <w:t>R</w:t>
      </w:r>
      <w:r>
        <w:rPr>
          <w:rFonts w:hint="default"/>
          <w:sz w:val="22"/>
        </w:rPr>
        <w:t>ate1</w:t>
      </w:r>
    </w:p>
    <w:p>
      <w:pPr>
        <w:spacing w:beforeLines="0" w:afterLines="0"/>
        <w:ind w:left="840" w:leftChars="0" w:firstLine="420" w:firstLineChars="0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</w:rPr>
        <w:t>按</w:t>
      </w:r>
      <w:r>
        <w:rPr>
          <w:rFonts w:hint="eastAsia"/>
          <w:sz w:val="22"/>
          <w:lang w:val="en-US" w:eastAsia="zh-CN"/>
        </w:rPr>
        <w:t>对比轮year+n 的SOP</w:t>
      </w:r>
      <w:r>
        <w:rPr>
          <w:rFonts w:hint="eastAsia"/>
          <w:sz w:val="22"/>
        </w:rPr>
        <w:t>月份找另一表对应可销售月数</w:t>
      </w:r>
      <w:r>
        <w:rPr>
          <w:rFonts w:hint="default"/>
          <w:sz w:val="22"/>
        </w:rPr>
        <w:t>month</w:t>
      </w:r>
      <w:r>
        <w:rPr>
          <w:rFonts w:hint="eastAsia"/>
          <w:sz w:val="22"/>
          <w:lang w:val="en-US" w:eastAsia="zh-CN"/>
        </w:rPr>
        <w:t>1</w:t>
      </w:r>
    </w:p>
    <w:p>
      <w:pPr>
        <w:spacing w:beforeLines="0" w:afterLines="0"/>
        <w:ind w:left="840" w:leftChars="0" w:firstLine="420" w:firstLineChars="0"/>
        <w:rPr>
          <w:rFonts w:hint="default"/>
          <w:sz w:val="22"/>
        </w:rPr>
      </w:pPr>
      <w:r>
        <w:rPr>
          <w:rFonts w:hint="default"/>
          <w:sz w:val="22"/>
        </w:rPr>
        <w:t>Rate1/month</w:t>
      </w:r>
      <w:r>
        <w:rPr>
          <w:rFonts w:hint="eastAsia"/>
          <w:sz w:val="22"/>
          <w:lang w:val="en-US" w:eastAsia="zh-CN"/>
        </w:rPr>
        <w:t>1</w:t>
      </w:r>
      <w:r>
        <w:rPr>
          <w:rFonts w:hint="default"/>
          <w:sz w:val="22"/>
        </w:rPr>
        <w:t>=</w:t>
      </w:r>
      <w:r>
        <w:rPr>
          <w:rFonts w:hint="eastAsia"/>
          <w:sz w:val="22"/>
          <w:lang w:val="en-US" w:eastAsia="zh-CN"/>
        </w:rPr>
        <w:t>对比轮</w:t>
      </w:r>
      <w:r>
        <w:rPr>
          <w:rFonts w:hint="eastAsia"/>
          <w:sz w:val="22"/>
        </w:rPr>
        <w:t>每月市占率</w:t>
      </w:r>
    </w:p>
    <w:p>
      <w:pPr>
        <w:spacing w:beforeLines="0" w:afterLines="0"/>
        <w:ind w:left="840" w:leftChars="0" w:firstLine="420" w:firstLineChars="0"/>
        <w:rPr>
          <w:rFonts w:hint="default"/>
          <w:sz w:val="22"/>
        </w:rPr>
      </w:pPr>
      <w:r>
        <w:rPr>
          <w:rFonts w:hint="eastAsia"/>
          <w:sz w:val="22"/>
        </w:rPr>
        <w:t>按</w:t>
      </w:r>
      <w:r>
        <w:rPr>
          <w:rFonts w:hint="eastAsia"/>
          <w:sz w:val="22"/>
          <w:lang w:val="en-US" w:eastAsia="zh-CN"/>
        </w:rPr>
        <w:t>对本轮当year+n的SOP</w:t>
      </w:r>
      <w:r>
        <w:rPr>
          <w:rFonts w:hint="eastAsia"/>
          <w:sz w:val="22"/>
        </w:rPr>
        <w:t>月份找另一表对应可销售月数</w:t>
      </w:r>
      <w:r>
        <w:rPr>
          <w:rFonts w:hint="default"/>
          <w:sz w:val="22"/>
        </w:rPr>
        <w:t>month2</w:t>
      </w:r>
      <w:r>
        <w:rPr>
          <w:rFonts w:hint="eastAsia"/>
          <w:sz w:val="22"/>
        </w:rPr>
        <w:t>和放大系数</w:t>
      </w:r>
    </w:p>
    <w:p>
      <w:pPr>
        <w:spacing w:beforeLines="0" w:afterLines="0"/>
        <w:ind w:left="840" w:leftChars="0" w:firstLine="420" w:firstLineChars="0"/>
        <w:rPr>
          <w:rFonts w:hint="default"/>
          <w:sz w:val="22"/>
        </w:rPr>
      </w:pPr>
      <w:r>
        <w:rPr>
          <w:rFonts w:hint="eastAsia"/>
          <w:sz w:val="22"/>
          <w:lang w:val="en-US" w:eastAsia="zh-CN"/>
        </w:rPr>
        <w:t>对比轮</w:t>
      </w:r>
      <w:r>
        <w:rPr>
          <w:rFonts w:hint="eastAsia"/>
          <w:sz w:val="22"/>
        </w:rPr>
        <w:t>每月市占率</w:t>
      </w:r>
      <w:r>
        <w:rPr>
          <w:rFonts w:hint="default"/>
          <w:sz w:val="22"/>
        </w:rPr>
        <w:t>* month2*</w:t>
      </w:r>
      <w:r>
        <w:rPr>
          <w:rFonts w:hint="eastAsia"/>
          <w:sz w:val="22"/>
        </w:rPr>
        <w:t>放大系数</w:t>
      </w:r>
      <w:r>
        <w:rPr>
          <w:rFonts w:hint="default"/>
          <w:sz w:val="22"/>
        </w:rPr>
        <w:t>=</w:t>
      </w:r>
      <w:r>
        <w:rPr>
          <w:rFonts w:hint="eastAsia"/>
          <w:sz w:val="22"/>
          <w:lang w:val="en-US" w:eastAsia="zh-CN"/>
        </w:rPr>
        <w:t>R</w:t>
      </w:r>
      <w:r>
        <w:rPr>
          <w:rFonts w:hint="default"/>
          <w:sz w:val="22"/>
        </w:rPr>
        <w:t>ate2</w:t>
      </w:r>
    </w:p>
    <w:p>
      <w:pPr>
        <w:spacing w:beforeLines="0" w:afterLines="0"/>
        <w:ind w:left="840" w:leftChars="0" w:firstLine="420" w:firstLineChars="0"/>
        <w:rPr>
          <w:rFonts w:hint="eastAsia" w:eastAsiaTheme="minorEastAsia"/>
          <w:sz w:val="22"/>
          <w:lang w:eastAsia="zh-CN"/>
        </w:rPr>
      </w:pPr>
      <w:r>
        <w:rPr>
          <w:rFonts w:hint="eastAsia"/>
          <w:sz w:val="22"/>
          <w:lang w:val="en-US" w:eastAsia="zh-CN"/>
        </w:rPr>
        <w:t>对比轮</w:t>
      </w:r>
      <w:r>
        <w:rPr>
          <w:rFonts w:hint="default"/>
          <w:sz w:val="22"/>
        </w:rPr>
        <w:t xml:space="preserve"> Total</w:t>
      </w:r>
      <w:r>
        <w:rPr>
          <w:rFonts w:hint="eastAsia"/>
          <w:sz w:val="22"/>
          <w:lang w:val="en-US" w:eastAsia="zh-CN"/>
        </w:rPr>
        <w:t xml:space="preserve"> mkt</w:t>
      </w:r>
      <w:r>
        <w:rPr>
          <w:rFonts w:hint="default"/>
          <w:sz w:val="22"/>
        </w:rPr>
        <w:t xml:space="preserve"> vol*rate2=vol2</w:t>
      </w:r>
      <w:r>
        <w:rPr>
          <w:rFonts w:hint="eastAsia"/>
          <w:sz w:val="22"/>
          <w:lang w:eastAsia="zh-CN"/>
        </w:rPr>
        <w:t>（</w:t>
      </w:r>
      <w:r>
        <w:rPr>
          <w:rFonts w:hint="eastAsia"/>
          <w:sz w:val="22"/>
          <w:lang w:val="en-US" w:eastAsia="zh-CN"/>
        </w:rPr>
        <w:t>评估的本轮year+n的销量</w:t>
      </w:r>
      <w:r>
        <w:rPr>
          <w:rFonts w:hint="eastAsia"/>
          <w:sz w:val="22"/>
          <w:lang w:eastAsia="zh-CN"/>
        </w:rPr>
        <w:t>）</w:t>
      </w:r>
    </w:p>
    <w:p>
      <w:pPr>
        <w:spacing w:beforeLines="0" w:afterLines="0"/>
        <w:ind w:left="840" w:leftChars="0" w:firstLine="42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Final vol=</w:t>
      </w:r>
      <w:r>
        <w:rPr>
          <w:rFonts w:hint="default"/>
          <w:sz w:val="22"/>
        </w:rPr>
        <w:t>vol2</w:t>
      </w:r>
      <w:r>
        <w:rPr>
          <w:rFonts w:hint="eastAsia"/>
          <w:sz w:val="22"/>
          <w:lang w:val="en-US" w:eastAsia="zh-CN"/>
        </w:rPr>
        <w:t>-对比轮的vol + （year+n年之前的每年的对比轮的vol（前几年的损失））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SOP forward 需要确认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EOP delay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本轮每个model的EOP与对比轮的EOP进行比较，如果本轮的EOP时间延后了，就是EOP delay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。从对比轮结束的年开始，累加本轮这一年以后的所有model所有年的volume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EOP forward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本轮每个model的EOP与对比轮的EOP进行比较，如果本轮的EOP时间提前了，就是EOP forward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。从本轮结束的年开始，累加对比轮这一年以后的所有model所有年的volume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箭头线算法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（1）本轮volume-对比volume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（2）（本轮volume-对比volume）/对比volume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将柱状图逐年拆分开，在year range所选范围内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Report7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3630" cy="2618105"/>
            <wp:effectExtent l="0" t="0" r="1270" b="10795"/>
            <wp:docPr id="7" name="图片 7" descr="9e8392eebc67efb88284dc9f8011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e8392eebc67efb88284dc9f8011a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选择需要对比的 PR states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选择Fuel type，分别为 ice/bev/phev可多选全选</w:t>
      </w:r>
    </w:p>
    <w:p>
      <w:pPr>
        <w:numPr>
          <w:ilvl w:val="0"/>
          <w:numId w:val="1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选择按OEM显示，还是按Brand显示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选择MS计算的分母是分类市场还是全市场</w:t>
      </w:r>
    </w:p>
    <w:p>
      <w:pPr>
        <w:numPr>
          <w:ilvl w:val="0"/>
          <w:numId w:val="1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蓝色：本轮选中的所有Brand（或OEM）的某一个或几个Fuel type的volume之和，一年一年的算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灰色：对比轮选中的所有Brand（或OEM）的某一个或几个Fuel type的volume之和，一年一年的算</w:t>
      </w:r>
    </w:p>
    <w:p>
      <w:pPr>
        <w:numPr>
          <w:ilvl w:val="0"/>
          <w:numId w:val="1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点线图算法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实线：本轮选中的所有Brand（或OEM）的某一个或几个Fuel type的volume之和与分类市场/当年全市场volume的比，一年一年的算。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虚线： 对比轮选中的所有Brand（或OEM）的某一个或几个Fuel type的volume之和与分类市场/当年全市场volume的比，一年一年的算。</w:t>
      </w:r>
    </w:p>
    <w:p>
      <w:pPr>
        <w:numPr>
          <w:ilvl w:val="0"/>
          <w:numId w:val="1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实线减虚线，按Brand拆分或按OEM拆分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total： brand或OEM百分比之和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Report8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1090" cy="2716530"/>
            <wp:effectExtent l="0" t="0" r="3810" b="1270"/>
            <wp:docPr id="8" name="图片 8" descr="4c79eae20e5405d54206934c9a7e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c79eae20e5405d54206934c9a7e7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私有filter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选择需要对比的PR states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选择Fuel type group，分别为 ice/nev（是不是只能单选？？）</w:t>
      </w:r>
    </w:p>
    <w:p>
      <w:pPr>
        <w:numPr>
          <w:ilvl w:val="0"/>
          <w:numId w:val="19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表格算法（每一类可能会生成很多model）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project：比较两轮的model family，有新增的就是New，记录该model family下的所有model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2"/>
          <w:lang w:val="en-US" w:eastAsia="zh-CN"/>
        </w:rPr>
        <w:t>Cancelled products：</w:t>
      </w:r>
      <w:r>
        <w:rPr>
          <w:rFonts w:hint="eastAsia"/>
          <w:lang w:val="en-US" w:eastAsia="zh-CN"/>
        </w:rPr>
        <w:t>比较两轮的model，有减少的就是Cancelled，记录N轮的时间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SOP delay：比较两轮的model，SOP有延期的model就是，记录N轮与N+1轮的时间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 pull ahead：比较两轮的model，SOP有提前的model就是，记录N轮与N+1轮的时间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EOP delay：比较两轮的model，EOP有延期的model就是，记录N轮与N+1轮的时间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EOP pull ahead：比较两轮的model，EOP有提前的model就是，记录N轮与N+1轮的时间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生成excel文件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特殊报表：单独流程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分子：mkt和group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Filter：PR states OEM。。。。。所有字段 year EOP SOP都不要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Split：所有字段（单选）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分母：mkt和group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Filter：PR states OEM。。。。。所有字段 year EOP SOP都不要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Split：所有字段（单选）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873" w:right="1083" w:bottom="873" w:left="10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86115"/>
    <w:multiLevelType w:val="singleLevel"/>
    <w:tmpl w:val="89486115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9964A5BF"/>
    <w:multiLevelType w:val="singleLevel"/>
    <w:tmpl w:val="9964A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E706E2"/>
    <w:multiLevelType w:val="singleLevel"/>
    <w:tmpl w:val="9DE706E2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3">
    <w:nsid w:val="AB760768"/>
    <w:multiLevelType w:val="singleLevel"/>
    <w:tmpl w:val="AB760768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4">
    <w:nsid w:val="C45DB425"/>
    <w:multiLevelType w:val="singleLevel"/>
    <w:tmpl w:val="C45DB425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5">
    <w:nsid w:val="D17A2C73"/>
    <w:multiLevelType w:val="singleLevel"/>
    <w:tmpl w:val="D17A2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2C8130"/>
    <w:multiLevelType w:val="singleLevel"/>
    <w:tmpl w:val="D52C8130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7">
    <w:nsid w:val="DBE45C52"/>
    <w:multiLevelType w:val="singleLevel"/>
    <w:tmpl w:val="DBE45C52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8">
    <w:nsid w:val="E4E07A70"/>
    <w:multiLevelType w:val="singleLevel"/>
    <w:tmpl w:val="E4E07A7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561DBB5"/>
    <w:multiLevelType w:val="singleLevel"/>
    <w:tmpl w:val="0561DBB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ED125F6"/>
    <w:multiLevelType w:val="singleLevel"/>
    <w:tmpl w:val="0ED125F6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1">
    <w:nsid w:val="1FA63071"/>
    <w:multiLevelType w:val="singleLevel"/>
    <w:tmpl w:val="1FA63071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2">
    <w:nsid w:val="20938C41"/>
    <w:multiLevelType w:val="singleLevel"/>
    <w:tmpl w:val="20938C41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3">
    <w:nsid w:val="2BEC69CA"/>
    <w:multiLevelType w:val="singleLevel"/>
    <w:tmpl w:val="2BEC6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B2F6E23"/>
    <w:multiLevelType w:val="singleLevel"/>
    <w:tmpl w:val="3B2F6E2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41FA0071"/>
    <w:multiLevelType w:val="singleLevel"/>
    <w:tmpl w:val="41FA0071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6">
    <w:nsid w:val="4D2F4AC1"/>
    <w:multiLevelType w:val="singleLevel"/>
    <w:tmpl w:val="4D2F4A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64C94AF8"/>
    <w:multiLevelType w:val="singleLevel"/>
    <w:tmpl w:val="64C94AF8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73C8576E"/>
    <w:multiLevelType w:val="singleLevel"/>
    <w:tmpl w:val="73C857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6"/>
  </w:num>
  <w:num w:numId="5">
    <w:abstractNumId w:val="12"/>
  </w:num>
  <w:num w:numId="6">
    <w:abstractNumId w:val="0"/>
  </w:num>
  <w:num w:numId="7">
    <w:abstractNumId w:val="3"/>
  </w:num>
  <w:num w:numId="8">
    <w:abstractNumId w:val="6"/>
  </w:num>
  <w:num w:numId="9">
    <w:abstractNumId w:val="11"/>
  </w:num>
  <w:num w:numId="10">
    <w:abstractNumId w:val="14"/>
  </w:num>
  <w:num w:numId="11">
    <w:abstractNumId w:val="17"/>
  </w:num>
  <w:num w:numId="12">
    <w:abstractNumId w:val="9"/>
  </w:num>
  <w:num w:numId="13">
    <w:abstractNumId w:val="18"/>
  </w:num>
  <w:num w:numId="14">
    <w:abstractNumId w:val="8"/>
  </w:num>
  <w:num w:numId="15">
    <w:abstractNumId w:val="13"/>
  </w:num>
  <w:num w:numId="16">
    <w:abstractNumId w:val="10"/>
  </w:num>
  <w:num w:numId="17">
    <w:abstractNumId w:val="15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53C7"/>
    <w:rsid w:val="02250C70"/>
    <w:rsid w:val="023B373F"/>
    <w:rsid w:val="0316106D"/>
    <w:rsid w:val="03244368"/>
    <w:rsid w:val="0426305A"/>
    <w:rsid w:val="04613F3F"/>
    <w:rsid w:val="04977B1A"/>
    <w:rsid w:val="050D032C"/>
    <w:rsid w:val="050F4EB1"/>
    <w:rsid w:val="088C23E5"/>
    <w:rsid w:val="08A83171"/>
    <w:rsid w:val="08EE3B07"/>
    <w:rsid w:val="091776D1"/>
    <w:rsid w:val="094F65B6"/>
    <w:rsid w:val="09936C7D"/>
    <w:rsid w:val="09C96668"/>
    <w:rsid w:val="0B4F030A"/>
    <w:rsid w:val="0B5609EF"/>
    <w:rsid w:val="0C173103"/>
    <w:rsid w:val="0C1E7F7E"/>
    <w:rsid w:val="0DCE15F2"/>
    <w:rsid w:val="0DDB1EBA"/>
    <w:rsid w:val="10FE43A3"/>
    <w:rsid w:val="11031A2B"/>
    <w:rsid w:val="12F93C15"/>
    <w:rsid w:val="133419D0"/>
    <w:rsid w:val="136304CB"/>
    <w:rsid w:val="13790517"/>
    <w:rsid w:val="13BC7B78"/>
    <w:rsid w:val="13D96DB0"/>
    <w:rsid w:val="14C870D8"/>
    <w:rsid w:val="15AB6C99"/>
    <w:rsid w:val="15B73AB8"/>
    <w:rsid w:val="16BA567F"/>
    <w:rsid w:val="16DE0CDA"/>
    <w:rsid w:val="17045451"/>
    <w:rsid w:val="17080C4D"/>
    <w:rsid w:val="17A82278"/>
    <w:rsid w:val="18EE3FAD"/>
    <w:rsid w:val="1E121A59"/>
    <w:rsid w:val="1E21683B"/>
    <w:rsid w:val="1EDC6654"/>
    <w:rsid w:val="1F1B2F40"/>
    <w:rsid w:val="1F6F5A1D"/>
    <w:rsid w:val="20213877"/>
    <w:rsid w:val="2029328E"/>
    <w:rsid w:val="214E5485"/>
    <w:rsid w:val="227D4507"/>
    <w:rsid w:val="22B82EF0"/>
    <w:rsid w:val="239E5B9C"/>
    <w:rsid w:val="23EB57D2"/>
    <w:rsid w:val="24160358"/>
    <w:rsid w:val="243164E4"/>
    <w:rsid w:val="2438574A"/>
    <w:rsid w:val="24614BF4"/>
    <w:rsid w:val="24AF0122"/>
    <w:rsid w:val="24C06A4D"/>
    <w:rsid w:val="252206D7"/>
    <w:rsid w:val="256D4C98"/>
    <w:rsid w:val="2668439C"/>
    <w:rsid w:val="2675444C"/>
    <w:rsid w:val="26A66B69"/>
    <w:rsid w:val="26F37663"/>
    <w:rsid w:val="27FF5F36"/>
    <w:rsid w:val="2A300733"/>
    <w:rsid w:val="2AE13C2A"/>
    <w:rsid w:val="2B465A26"/>
    <w:rsid w:val="2BB07188"/>
    <w:rsid w:val="2C6B5B7F"/>
    <w:rsid w:val="2D362B28"/>
    <w:rsid w:val="2EF547E9"/>
    <w:rsid w:val="2FF35DAD"/>
    <w:rsid w:val="30CE5AE1"/>
    <w:rsid w:val="30D16821"/>
    <w:rsid w:val="31254C2E"/>
    <w:rsid w:val="318A7102"/>
    <w:rsid w:val="31A63840"/>
    <w:rsid w:val="323D405E"/>
    <w:rsid w:val="339762A3"/>
    <w:rsid w:val="34BD4B1E"/>
    <w:rsid w:val="35BE0F81"/>
    <w:rsid w:val="37BA06DE"/>
    <w:rsid w:val="37EB04F2"/>
    <w:rsid w:val="385F0892"/>
    <w:rsid w:val="38A81172"/>
    <w:rsid w:val="39153A28"/>
    <w:rsid w:val="394409BD"/>
    <w:rsid w:val="399E07D5"/>
    <w:rsid w:val="39B6007C"/>
    <w:rsid w:val="3A1A4722"/>
    <w:rsid w:val="3A8075E6"/>
    <w:rsid w:val="3A83409C"/>
    <w:rsid w:val="3B2E2174"/>
    <w:rsid w:val="3B7B6F55"/>
    <w:rsid w:val="3B8C034A"/>
    <w:rsid w:val="3C914187"/>
    <w:rsid w:val="3D2B790E"/>
    <w:rsid w:val="3E202491"/>
    <w:rsid w:val="3EE62777"/>
    <w:rsid w:val="40DC4E09"/>
    <w:rsid w:val="410C7437"/>
    <w:rsid w:val="41191B12"/>
    <w:rsid w:val="41FD37FA"/>
    <w:rsid w:val="427D29C6"/>
    <w:rsid w:val="42E013BB"/>
    <w:rsid w:val="42F81748"/>
    <w:rsid w:val="42FF6119"/>
    <w:rsid w:val="43CC4B09"/>
    <w:rsid w:val="45235C81"/>
    <w:rsid w:val="452704EF"/>
    <w:rsid w:val="453579C4"/>
    <w:rsid w:val="45C226D7"/>
    <w:rsid w:val="46A21826"/>
    <w:rsid w:val="472C2F17"/>
    <w:rsid w:val="47456DA7"/>
    <w:rsid w:val="479B0697"/>
    <w:rsid w:val="47CB7E22"/>
    <w:rsid w:val="48663132"/>
    <w:rsid w:val="48E63C24"/>
    <w:rsid w:val="49591CF7"/>
    <w:rsid w:val="49A65D36"/>
    <w:rsid w:val="49DC03DA"/>
    <w:rsid w:val="4BAA7332"/>
    <w:rsid w:val="4C903D5D"/>
    <w:rsid w:val="4CE71D07"/>
    <w:rsid w:val="4CFF701E"/>
    <w:rsid w:val="4D817136"/>
    <w:rsid w:val="4DE9521F"/>
    <w:rsid w:val="4ECC0BDA"/>
    <w:rsid w:val="4F6D1C1B"/>
    <w:rsid w:val="4F9C198A"/>
    <w:rsid w:val="514A64AB"/>
    <w:rsid w:val="51FB642D"/>
    <w:rsid w:val="5229148A"/>
    <w:rsid w:val="526E5291"/>
    <w:rsid w:val="52C67C9B"/>
    <w:rsid w:val="536220B9"/>
    <w:rsid w:val="544C6893"/>
    <w:rsid w:val="554D7F2C"/>
    <w:rsid w:val="576722AA"/>
    <w:rsid w:val="59026064"/>
    <w:rsid w:val="59332466"/>
    <w:rsid w:val="59A42ADA"/>
    <w:rsid w:val="5A3F168A"/>
    <w:rsid w:val="5B8F7064"/>
    <w:rsid w:val="5C2A1417"/>
    <w:rsid w:val="5DA822ED"/>
    <w:rsid w:val="5E581AE3"/>
    <w:rsid w:val="5EA82A33"/>
    <w:rsid w:val="5F9D1DD3"/>
    <w:rsid w:val="6065551D"/>
    <w:rsid w:val="609B56A0"/>
    <w:rsid w:val="612C3B22"/>
    <w:rsid w:val="63967DCA"/>
    <w:rsid w:val="64991BDF"/>
    <w:rsid w:val="64C32316"/>
    <w:rsid w:val="64D60695"/>
    <w:rsid w:val="655D65A9"/>
    <w:rsid w:val="65DA6534"/>
    <w:rsid w:val="65F70581"/>
    <w:rsid w:val="66890CCF"/>
    <w:rsid w:val="688D742C"/>
    <w:rsid w:val="68CF1144"/>
    <w:rsid w:val="693254A2"/>
    <w:rsid w:val="6AAB133F"/>
    <w:rsid w:val="6AC93416"/>
    <w:rsid w:val="6C117C4E"/>
    <w:rsid w:val="6C580F22"/>
    <w:rsid w:val="6D6F6BB5"/>
    <w:rsid w:val="6D8B383A"/>
    <w:rsid w:val="6E8A5B77"/>
    <w:rsid w:val="6FA018DA"/>
    <w:rsid w:val="701E7520"/>
    <w:rsid w:val="704C1F6C"/>
    <w:rsid w:val="70F96640"/>
    <w:rsid w:val="713665CD"/>
    <w:rsid w:val="758D138E"/>
    <w:rsid w:val="76D27608"/>
    <w:rsid w:val="772330E0"/>
    <w:rsid w:val="773501F0"/>
    <w:rsid w:val="782F550C"/>
    <w:rsid w:val="784E486C"/>
    <w:rsid w:val="791E1A2E"/>
    <w:rsid w:val="794C21FA"/>
    <w:rsid w:val="79BE63DC"/>
    <w:rsid w:val="79E03729"/>
    <w:rsid w:val="7A0A2186"/>
    <w:rsid w:val="7A194E05"/>
    <w:rsid w:val="7AE170F4"/>
    <w:rsid w:val="7B555D53"/>
    <w:rsid w:val="7B6E7DEF"/>
    <w:rsid w:val="7BDD47C6"/>
    <w:rsid w:val="7C19133C"/>
    <w:rsid w:val="7C2D65E8"/>
    <w:rsid w:val="7CF0730E"/>
    <w:rsid w:val="7E2B7A2E"/>
    <w:rsid w:val="7EAA6612"/>
    <w:rsid w:val="7EEA6F3A"/>
    <w:rsid w:val="7F255FD4"/>
    <w:rsid w:val="7F695C7A"/>
    <w:rsid w:val="7F6D50DD"/>
    <w:rsid w:val="7FE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2020-09-17T08:10:00Z</dcterms:created>
  <dc:creator>浪竹</dc:creator>
  <cp:lastModifiedBy>浪竹</cp:lastModifiedBy>
  <dcterms:modified xsi:type="dcterms:W3CDTF">2020-09-19T14:34:14Z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