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CC63E"/>
          <w:sz w:val="30"/>
        </w:rPr>
        <w:t>ISOMO VOICE AI PILOT</w:t>
      </w:r>
    </w:p>
    <w:p>
      <w:pPr>
        <w:jc w:val="center"/>
      </w:pPr>
      <w:r>
        <w:rPr>
          <w:b/>
          <w:color w:val="4A4B4C"/>
          <w:sz w:val="24"/>
        </w:rPr>
        <w:t>Pilot Success Metrics - Board Decision Sheet</w:t>
      </w:r>
    </w:p>
    <w:p>
      <w:r>
        <w:rPr>
          <w:color w:val="4A4B4C"/>
          <w:sz w:val="19"/>
        </w:rPr>
        <w:t>Each metric is measured before the pilot (Week 0) and after (Week 6); the change is the result. All instruments are already available to Isomo. Targets are provisional shapes - exact numbers should be locked after the Week-0 baseline is collected.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fill="8cc63e"/>
          </w:tcPr>
          <w:p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fill="8cc63e"/>
          </w:tcPr>
          <w:p>
            <w:r/>
            <w:r>
              <w:rPr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val="clear" w:fill="8cc63e"/>
          </w:tcPr>
          <w:p>
            <w:r/>
            <w:r>
              <w:rPr>
                <w:b/>
                <w:i w:val="0"/>
                <w:color w:val="FFFFFF"/>
                <w:sz w:val="18"/>
              </w:rPr>
              <w:t>What it answers</w:t>
            </w:r>
          </w:p>
        </w:tc>
        <w:tc>
          <w:tcPr>
            <w:tcW w:type="dxa" w:w="1872"/>
            <w:shd w:val="clear" w:fill="8cc63e"/>
          </w:tcPr>
          <w:p>
            <w:r/>
            <w:r>
              <w:rPr>
                <w:b/>
                <w:i w:val="0"/>
                <w:color w:val="FFFFFF"/>
                <w:sz w:val="18"/>
              </w:rPr>
              <w:t>Instrument</w:t>
            </w:r>
          </w:p>
        </w:tc>
        <w:tc>
          <w:tcPr>
            <w:tcW w:type="dxa" w:w="3168"/>
            <w:shd w:val="clear" w:fill="8cc63e"/>
          </w:tcPr>
          <w:p>
            <w:r/>
            <w:r>
              <w:rPr>
                <w:b/>
                <w:i w:val="0"/>
                <w:color w:val="FFFFFF"/>
                <w:sz w:val="18"/>
              </w:rPr>
              <w:t>6-week target</w:t>
            </w:r>
          </w:p>
        </w:tc>
        <w:tc>
          <w:tcPr>
            <w:tcW w:type="dxa" w:w="1296"/>
            <w:shd w:val="clear" w:fill="8cc63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b/>
                <w:i w:val="0"/>
                <w:color w:val="4A4B4C"/>
                <w:sz w:val="18"/>
              </w:rPr>
              <w:t>Dose delivered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7"/>
              </w:rPr>
              <w:t>Did students actually practise? (sessions + speaking time)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  <w:sz w:val="17"/>
              </w:rPr>
              <w:t>ElevenLabs logs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i w:val="0"/>
                <w:sz w:val="17"/>
              </w:rPr>
              <w:t>&gt;=80% of planned sessions completed; median &gt;=10 of 20 min spent speaking</w:t>
            </w:r>
          </w:p>
        </w:tc>
        <w:tc>
          <w:tcPr>
            <w:tcW w:type="dxa" w:w="1296"/>
            <w:shd w:val="clear" w:fill="ffe6e6"/>
          </w:tcPr>
          <w:p>
            <w:r/>
            <w:r>
              <w:rPr>
                <w:b/>
                <w:i w:val="0"/>
                <w:color w:val="C00000"/>
                <w:sz w:val="17"/>
              </w:rPr>
              <w:t>MUST-HIT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b/>
                <w:i w:val="0"/>
                <w:color w:val="4A4B4C"/>
                <w:sz w:val="18"/>
              </w:rPr>
              <w:t>Oral fluency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7"/>
              </w:rPr>
              <w:t>Did spoken English improve? (the core hypothesis)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  <w:sz w:val="17"/>
              </w:rPr>
              <w:t>DET + SmallTalk2Me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i w:val="0"/>
                <w:sz w:val="17"/>
              </w:rPr>
              <w:t>Cohort mean up &gt;=0.5 CEFR sub-level (directional, not certified)</w:t>
            </w:r>
          </w:p>
        </w:tc>
        <w:tc>
          <w:tcPr>
            <w:tcW w:type="dxa" w:w="1296"/>
            <w:shd w:val="clear" w:fill="ffe6e6"/>
          </w:tcPr>
          <w:p>
            <w:r/>
            <w:r>
              <w:rPr>
                <w:b/>
                <w:i w:val="0"/>
                <w:color w:val="C00000"/>
                <w:sz w:val="17"/>
              </w:rPr>
              <w:t>MUST-HIT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b/>
                <w:i w:val="0"/>
                <w:color w:val="4A4B4C"/>
                <w:sz w:val="18"/>
              </w:rPr>
              <w:t>Grammar mastery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7"/>
              </w:rPr>
              <w:t>Did accuracy on taught topics improve?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  <w:sz w:val="17"/>
              </w:rPr>
              <w:t>IXL (already owned)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i w:val="0"/>
                <w:sz w:val="17"/>
              </w:rPr>
              <w:t>+15 pts in share of students at SmartScore &gt;=80</w:t>
            </w:r>
          </w:p>
        </w:tc>
        <w:tc>
          <w:tcPr>
            <w:tcW w:type="dxa" w:w="1296"/>
            <w:shd w:val="clear" w:fill="f0f0f0"/>
          </w:tcPr>
          <w:p>
            <w:r/>
            <w:r>
              <w:rPr>
                <w:b w:val="0"/>
                <w:i w:val="0"/>
                <w:color w:val="4A4B4C"/>
                <w:sz w:val="17"/>
              </w:rPr>
              <w:t>Supporting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b/>
                <w:i w:val="0"/>
                <w:color w:val="4A4B4C"/>
                <w:sz w:val="18"/>
              </w:rPr>
              <w:t>Confidence &amp; anxiety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7"/>
              </w:rPr>
              <w:t>Did students feel more able and less anxious?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  <w:sz w:val="17"/>
              </w:rPr>
              <w:t>Confidence questionnaire (Google Form)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i w:val="0"/>
                <w:sz w:val="17"/>
              </w:rPr>
              <w:t>Cohort mean +0.5 (1-5 scale); anxiety subscale falls</w:t>
            </w:r>
          </w:p>
        </w:tc>
        <w:tc>
          <w:tcPr>
            <w:tcW w:type="dxa" w:w="1296"/>
            <w:shd w:val="clear" w:fill="ffe6e6"/>
          </w:tcPr>
          <w:p>
            <w:r/>
            <w:r>
              <w:rPr>
                <w:b/>
                <w:i w:val="0"/>
                <w:color w:val="C00000"/>
                <w:sz w:val="17"/>
              </w:rPr>
              <w:t>MUST-HIT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b/>
                <w:i w:val="0"/>
                <w:color w:val="4A4B4C"/>
                <w:sz w:val="18"/>
              </w:rPr>
              <w:t>Equity / dose-response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7"/>
              </w:rPr>
              <w:t>Do the 25 lowest-baseline (extra-hour) students gain at least as much as the base cohort?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  <w:sz w:val="17"/>
              </w:rPr>
              <w:t>Compare sub-cohort PRE/POST changes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i w:val="0"/>
                <w:sz w:val="17"/>
              </w:rPr>
              <w:t>Extra-hour gains &gt;= base-cohort gains</w:t>
            </w:r>
          </w:p>
        </w:tc>
        <w:tc>
          <w:tcPr>
            <w:tcW w:type="dxa" w:w="1296"/>
            <w:shd w:val="clear" w:fill="f0f0f0"/>
          </w:tcPr>
          <w:p>
            <w:r/>
            <w:r>
              <w:rPr>
                <w:b w:val="0"/>
                <w:i w:val="0"/>
                <w:color w:val="4A4B4C"/>
                <w:sz w:val="17"/>
              </w:rPr>
              <w:t>Supporting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b/>
                <w:i w:val="0"/>
                <w:color w:val="4A4B4C"/>
                <w:sz w:val="18"/>
              </w:rPr>
              <w:t>Adoption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7"/>
              </w:rPr>
              <w:t>Is it wanted and scalable, regardless of scores?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  <w:sz w:val="17"/>
              </w:rPr>
              <w:t>End-survey + facilitator debrief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i w:val="0"/>
                <w:sz w:val="17"/>
              </w:rPr>
              <w:t>&gt;=75% of students want to continue; facilitators report time freed for higher-order work</w:t>
            </w:r>
          </w:p>
        </w:tc>
        <w:tc>
          <w:tcPr>
            <w:tcW w:type="dxa" w:w="1296"/>
            <w:shd w:val="clear" w:fill="f0f0f0"/>
          </w:tcPr>
          <w:p>
            <w:r/>
            <w:r>
              <w:rPr>
                <w:b w:val="0"/>
                <w:i w:val="0"/>
                <w:color w:val="4A4B4C"/>
                <w:sz w:val="17"/>
              </w:rPr>
              <w:t>Supporting</w:t>
            </w:r>
          </w:p>
        </w:tc>
      </w:tr>
    </w:tbl>
    <w:p/>
    <w:p>
      <w:r>
        <w:rPr>
          <w:b/>
          <w:color w:val="8CC63E"/>
          <w:sz w:val="22"/>
        </w:rPr>
        <w:t>Go / No-Go rule for scaling to the Circles</w:t>
      </w:r>
    </w:p>
    <w:p>
      <w:r>
        <w:rPr>
          <w:sz w:val="19"/>
        </w:rPr>
        <w:t>GO if the three MUST-HIT metrics are met (students practised, fluency moved directionally, confidence rose). The three Supporting metrics shape HOW to scale, not WHETHER. NO-GO / REVISE if dose was not delivered (Metric 1 failed) - in that case the pilot tested nothing, and the design, not the concept, needs fixing first.</w:t>
      </w:r>
    </w:p>
    <w:p/>
    <w:p>
      <w:r>
        <w:rPr>
          <w:b/>
          <w:color w:val="4A4B4C"/>
          <w:sz w:val="22"/>
        </w:rPr>
        <w:t>Two notes for the board</w:t>
      </w:r>
    </w:p>
    <w:p>
      <w:pPr>
        <w:pStyle w:val="ListBullet"/>
      </w:pPr>
      <w:r>
        <w:rPr>
          <w:sz w:val="19"/>
        </w:rPr>
        <w:t>Lock the exact target numbers AFTER the Week-0 baseline. Promising "+0.5 sub-level" before we know where students start is not responsible; the shapes above guide measurement, the numbers are set once baseline is in.</w:t>
      </w:r>
    </w:p>
    <w:p>
      <w:pPr>
        <w:pStyle w:val="ListBullet"/>
      </w:pPr>
      <w:r>
        <w:rPr>
          <w:sz w:val="19"/>
        </w:rPr>
        <w:t>Every metric is pre/post CHANGE, not proof of cause - except Metric 5 (dose-response), which is the closest this pilot comes to isolating the AI's effect. This is a pilot, framed honestly as one.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