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CC63E"/>
          <w:sz w:val="32"/>
        </w:rPr>
        <w:t>ISOMO VOICE AI PILOT</w:t>
      </w:r>
    </w:p>
    <w:p>
      <w:pPr>
        <w:jc w:val="center"/>
      </w:pPr>
      <w:r>
        <w:rPr>
          <w:b/>
          <w:color w:val="4A4B4C"/>
          <w:sz w:val="26"/>
        </w:rPr>
        <w:t>Spoken English — Confidence &amp; Anxiety Questionnaire</w:t>
      </w:r>
    </w:p>
    <w:p>
      <w:pPr>
        <w:jc w:val="center"/>
      </w:pPr>
      <w:r>
        <w:rPr>
          <w:i/>
          <w:color w:val="4A4B4C"/>
          <w:sz w:val="18"/>
        </w:rPr>
        <w:t>Adapted from the Foreign Language Classroom Anxiety Scale (FLCAS) and the Willingness-to-Communicate (WTC) scale. Administer in Week 0 (before) and Week 6 (after).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af5d4"/>
          </w:tcPr>
          <w:p>
            <w:r/>
            <w:r>
              <w:rPr>
                <w:b/>
                <w:sz w:val="18"/>
              </w:rPr>
              <w:t>Student ID</w:t>
            </w:r>
          </w:p>
        </w:tc>
        <w:tc>
          <w:tcPr>
            <w:tcW w:type="dxa" w:w="2160"/>
            <w:shd w:val="clear" w:fill="eaf5d4"/>
          </w:tcPr>
          <w:p>
            <w:r/>
            <w:r>
              <w:rPr>
                <w:b/>
                <w:sz w:val="18"/>
              </w:rPr>
              <w:t>Date</w:t>
            </w:r>
          </w:p>
        </w:tc>
        <w:tc>
          <w:tcPr>
            <w:tcW w:type="dxa" w:w="2160"/>
            <w:shd w:val="clear" w:fill="eaf5d4"/>
          </w:tcPr>
          <w:p>
            <w:r/>
            <w:r>
              <w:rPr>
                <w:b/>
                <w:sz w:val="18"/>
              </w:rPr>
              <w:t>Cohort</w:t>
            </w:r>
          </w:p>
        </w:tc>
        <w:tc>
          <w:tcPr>
            <w:tcW w:type="dxa" w:w="2160"/>
            <w:shd w:val="clear" w:fill="eaf5d4"/>
          </w:tcPr>
          <w:p>
            <w:r/>
            <w:r>
              <w:rPr>
                <w:b/>
                <w:sz w:val="18"/>
              </w:rPr>
              <w:t>Sitting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Y1 / Base  □    Extra-hour  □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PRE (Week 0)  □     POST (Week 6)  □</w:t>
            </w:r>
          </w:p>
        </w:tc>
      </w:tr>
    </w:tbl>
    <w:p>
      <w:r>
        <w:rPr>
          <w:i/>
          <w:color w:val="4A4B4C"/>
          <w:sz w:val="16"/>
        </w:rPr>
        <w:t>Do NOT write your name. Use your Student ID only.</w:t>
      </w:r>
    </w:p>
    <w:p/>
    <w:p>
      <w:r>
        <w:rPr>
          <w:b/>
          <w:color w:val="8CC63E"/>
          <w:sz w:val="22"/>
        </w:rPr>
        <w:t>Instructions  /  Amabwiriza</w:t>
      </w:r>
    </w:p>
    <w:p>
      <w:r>
        <w:rPr>
          <w:sz w:val="20"/>
        </w:rPr>
        <w:t>For each statement, circle the number that best matches how you feel today. There are no right or wrong answers.</w:t>
      </w:r>
    </w:p>
    <w:p>
      <w:r>
        <w:rPr>
          <w:i/>
          <w:color w:val="4A4B4C"/>
          <w:sz w:val="18"/>
        </w:rPr>
        <w:t>[Ikinyarwanda: ____________________________________________________]</w:t>
      </w:r>
    </w:p>
    <w:p>
      <w:r>
        <w:rPr>
          <w:b/>
          <w:sz w:val="18"/>
        </w:rPr>
        <w:t>1 = Strongly disagree    2 = Disagree    3 = Neutral    4 = Agree    5 = Strongly agree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shd w:val="clear" w:fill="8cc63e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160"/>
            <w:shd w:val="clear" w:fill="8cc63e"/>
          </w:tcPr>
          <w:p>
            <w:r/>
            <w:r>
              <w:rPr>
                <w:b/>
                <w:color w:val="FFFFFF"/>
                <w:sz w:val="18"/>
              </w:rPr>
              <w:t>Statement</w:t>
            </w:r>
          </w:p>
        </w:tc>
        <w:tc>
          <w:tcPr>
            <w:tcW w:type="dxa" w:w="4320"/>
            <w:gridSpan w:val="2"/>
            <w:shd w:val="clear" w:fill="8cc63e"/>
          </w:tcPr>
          <w:p>
            <w:r/>
            <w:r>
              <w:rPr>
                <w:b/>
                <w:color w:val="FFFFFF"/>
                <w:sz w:val="18"/>
              </w:rPr>
              <w:t>Circle one</w:t>
            </w:r>
          </w:p>
          <w:p>
            <w:r/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 feel nervous when I have to speak English out loud.</w:t>
            </w:r>
          </w:p>
          <w:p>
            <w:r>
              <w:rPr>
                <w:i/>
                <w:color w:val="4A4B4C"/>
                <w:sz w:val="16"/>
              </w:rPr>
              <w:t>[Ikinyarwanda: ________________________________]</w:t>
            </w:r>
          </w:p>
        </w:tc>
        <w:tc>
          <w:tcPr>
            <w:tcW w:type="dxa" w:w="4320"/>
            <w:gridSpan w:val="2"/>
          </w:tcPr>
          <w:p>
            <w:pPr>
              <w:jc w:val="center"/>
            </w:pPr>
            <w:r>
              <w:rPr>
                <w:sz w:val="22"/>
              </w:rPr>
              <w:t>1    2    3    4    5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 worry about making mistakes when I speak English.</w:t>
            </w:r>
          </w:p>
          <w:p>
            <w:r>
              <w:rPr>
                <w:i/>
                <w:color w:val="4A4B4C"/>
                <w:sz w:val="16"/>
              </w:rPr>
              <w:t>[Ikinyarwanda: ________________________________]</w:t>
            </w:r>
          </w:p>
        </w:tc>
        <w:tc>
          <w:tcPr>
            <w:tcW w:type="dxa" w:w="4320"/>
            <w:gridSpan w:val="2"/>
          </w:tcPr>
          <w:p>
            <w:pPr>
              <w:jc w:val="center"/>
            </w:pPr>
            <w:r>
              <w:rPr>
                <w:sz w:val="22"/>
              </w:rPr>
              <w:t>1    2    3    4    5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 feel shy or embarrassed speaking English in front of others.</w:t>
            </w:r>
          </w:p>
          <w:p>
            <w:r>
              <w:rPr>
                <w:i/>
                <w:color w:val="4A4B4C"/>
                <w:sz w:val="16"/>
              </w:rPr>
              <w:t>[Ikinyarwanda: ________________________________]</w:t>
            </w:r>
          </w:p>
        </w:tc>
        <w:tc>
          <w:tcPr>
            <w:tcW w:type="dxa" w:w="4320"/>
            <w:gridSpan w:val="2"/>
          </w:tcPr>
          <w:p>
            <w:pPr>
              <w:jc w:val="center"/>
            </w:pPr>
            <w:r>
              <w:rPr>
                <w:sz w:val="22"/>
              </w:rPr>
              <w:t>1    2    3    4    5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 can keep a conversation going in English.</w:t>
            </w:r>
          </w:p>
          <w:p>
            <w:r>
              <w:rPr>
                <w:i/>
                <w:color w:val="4A4B4C"/>
                <w:sz w:val="16"/>
              </w:rPr>
              <w:t>[Ikinyarwanda: ________________________________]</w:t>
            </w:r>
          </w:p>
        </w:tc>
        <w:tc>
          <w:tcPr>
            <w:tcW w:type="dxa" w:w="4320"/>
            <w:gridSpan w:val="2"/>
          </w:tcPr>
          <w:p>
            <w:pPr>
              <w:jc w:val="center"/>
            </w:pPr>
            <w:r>
              <w:rPr>
                <w:sz w:val="22"/>
              </w:rPr>
              <w:t>1    2    3    4    5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 can express my ideas in English even when I don't know every word.</w:t>
            </w:r>
          </w:p>
          <w:p>
            <w:r>
              <w:rPr>
                <w:i/>
                <w:color w:val="4A4B4C"/>
                <w:sz w:val="16"/>
              </w:rPr>
              <w:t>[Ikinyarwanda: ________________________________]</w:t>
            </w:r>
          </w:p>
        </w:tc>
        <w:tc>
          <w:tcPr>
            <w:tcW w:type="dxa" w:w="4320"/>
            <w:gridSpan w:val="2"/>
          </w:tcPr>
          <w:p>
            <w:pPr>
              <w:jc w:val="center"/>
            </w:pPr>
            <w:r>
              <w:rPr>
                <w:sz w:val="22"/>
              </w:rPr>
              <w:t>1    2    3    4    5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 feel confident speaking English with someone I don't know.</w:t>
            </w:r>
          </w:p>
          <w:p>
            <w:r>
              <w:rPr>
                <w:i/>
                <w:color w:val="4A4B4C"/>
                <w:sz w:val="16"/>
              </w:rPr>
              <w:t>[Ikinyarwanda: ________________________________]</w:t>
            </w:r>
          </w:p>
        </w:tc>
        <w:tc>
          <w:tcPr>
            <w:tcW w:type="dxa" w:w="4320"/>
            <w:gridSpan w:val="2"/>
          </w:tcPr>
          <w:p>
            <w:pPr>
              <w:jc w:val="center"/>
            </w:pPr>
            <w:r>
              <w:rPr>
                <w:sz w:val="22"/>
              </w:rPr>
              <w:t>1    2    3    4    5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If I had the chance to speak English today, I would take it.</w:t>
            </w:r>
          </w:p>
          <w:p>
            <w:r>
              <w:rPr>
                <w:i/>
                <w:color w:val="4A4B4C"/>
                <w:sz w:val="16"/>
              </w:rPr>
              <w:t>[Ikinyarwanda: ________________________________]</w:t>
            </w:r>
          </w:p>
        </w:tc>
        <w:tc>
          <w:tcPr>
            <w:tcW w:type="dxa" w:w="4320"/>
            <w:gridSpan w:val="2"/>
          </w:tcPr>
          <w:p>
            <w:pPr>
              <w:jc w:val="center"/>
            </w:pPr>
            <w:r>
              <w:rPr>
                <w:sz w:val="22"/>
              </w:rPr>
              <w:t>1    2    3    4    5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 look for chances to practise speaking English.</w:t>
            </w:r>
          </w:p>
          <w:p>
            <w:r>
              <w:rPr>
                <w:i/>
                <w:color w:val="4A4B4C"/>
                <w:sz w:val="16"/>
              </w:rPr>
              <w:t>[Ikinyarwanda: ________________________________]</w:t>
            </w:r>
          </w:p>
        </w:tc>
        <w:tc>
          <w:tcPr>
            <w:tcW w:type="dxa" w:w="4320"/>
            <w:gridSpan w:val="2"/>
          </w:tcPr>
          <w:p>
            <w:pPr>
              <w:jc w:val="center"/>
            </w:pPr>
            <w:r>
              <w:rPr>
                <w:sz w:val="22"/>
              </w:rPr>
              <w:t>1    2    3    4    5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 enjoy practising spoken English.</w:t>
            </w:r>
          </w:p>
          <w:p>
            <w:r>
              <w:rPr>
                <w:i/>
                <w:color w:val="4A4B4C"/>
                <w:sz w:val="16"/>
              </w:rPr>
              <w:t>[Ikinyarwanda: ________________________________]</w:t>
            </w:r>
          </w:p>
        </w:tc>
        <w:tc>
          <w:tcPr>
            <w:tcW w:type="dxa" w:w="4320"/>
            <w:gridSpan w:val="2"/>
          </w:tcPr>
          <w:p>
            <w:pPr>
              <w:jc w:val="center"/>
            </w:pPr>
            <w:r>
              <w:rPr>
                <w:sz w:val="22"/>
              </w:rPr>
              <w:t>1    2    3    4    5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Speaking English makes me feel good about my learning.</w:t>
            </w:r>
          </w:p>
          <w:p>
            <w:r>
              <w:rPr>
                <w:i/>
                <w:color w:val="4A4B4C"/>
                <w:sz w:val="16"/>
              </w:rPr>
              <w:t>[Ikinyarwanda: ________________________________]</w:t>
            </w:r>
          </w:p>
        </w:tc>
        <w:tc>
          <w:tcPr>
            <w:tcW w:type="dxa" w:w="4320"/>
            <w:gridSpan w:val="2"/>
          </w:tcPr>
          <w:p>
            <w:pPr>
              <w:jc w:val="center"/>
            </w:pPr>
            <w:r>
              <w:rPr>
                <w:sz w:val="22"/>
              </w:rPr>
              <w:t>1    2    3    4    5</w:t>
            </w:r>
          </w:p>
        </w:tc>
      </w:tr>
    </w:tbl>
    <w:p/>
    <w:p>
      <w:r>
        <w:rPr>
          <w:b/>
          <w:color w:val="8CC63E"/>
          <w:sz w:val="22"/>
        </w:rPr>
        <w:t>Thank you!  /  Murakoze!</w:t>
      </w:r>
    </w:p>
    <w:p>
      <w:r>
        <w:br w:type="page"/>
      </w:r>
    </w:p>
    <w:p>
      <w:r>
        <w:rPr>
          <w:b/>
          <w:color w:val="8CC63E"/>
          <w:sz w:val="28"/>
        </w:rPr>
        <w:t>FACILITATOR SCORING KEY</w:t>
      </w:r>
    </w:p>
    <w:p>
      <w:r>
        <w:rPr>
          <w:i/>
          <w:color w:val="C00000"/>
          <w:sz w:val="18"/>
        </w:rPr>
        <w:t>Do not show this page to students. Remove before handing out.</w:t>
      </w:r>
    </w:p>
    <w:p>
      <w:r>
        <w:t>The questionnaire has 10 items across four constructs. Three anxiety items are REVERSE-SCORED: before averaging, replace the student's answer using 6 minus the circled number (1→5, 2→4, 3→3, 4→2, 5→1). A LOWER raw anxiety answer is a GOOD outcome; reversing makes higher = better for every item, so all ten can be averaged together.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8cc63e"/>
          </w:tcPr>
          <w:p>
            <w:r/>
            <w:r>
              <w:rPr>
                <w:b/>
                <w:color w:val="FFFFFF"/>
                <w:sz w:val="18"/>
              </w:rPr>
              <w:t>Item #</w:t>
            </w:r>
          </w:p>
        </w:tc>
        <w:tc>
          <w:tcPr>
            <w:tcW w:type="dxa" w:w="2160"/>
            <w:shd w:val="clear" w:fill="8cc63e"/>
          </w:tcPr>
          <w:p>
            <w:r/>
            <w:r>
              <w:rPr>
                <w:b/>
                <w:color w:val="FFFFFF"/>
                <w:sz w:val="18"/>
              </w:rPr>
              <w:t>Construct</w:t>
            </w:r>
          </w:p>
        </w:tc>
        <w:tc>
          <w:tcPr>
            <w:tcW w:type="dxa" w:w="2160"/>
            <w:shd w:val="clear" w:fill="8cc63e"/>
          </w:tcPr>
          <w:p>
            <w:r/>
            <w:r>
              <w:rPr>
                <w:b/>
                <w:color w:val="FFFFFF"/>
                <w:sz w:val="18"/>
              </w:rPr>
              <w:t>Reverse-scored?</w:t>
            </w:r>
          </w:p>
        </w:tc>
        <w:tc>
          <w:tcPr>
            <w:tcW w:type="dxa" w:w="2160"/>
            <w:shd w:val="clear" w:fill="8cc63e"/>
          </w:tcPr>
          <w:p>
            <w:r/>
            <w:r>
              <w:rPr>
                <w:b/>
                <w:color w:val="FFFFFF"/>
                <w:sz w:val="18"/>
              </w:rPr>
              <w:t>Higher score means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Anxiety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 (6 − score)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less anxiety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Anxiety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 (6 − score)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less anxiety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Anxiety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 (6 − score)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less anxiety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Confidence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more confidence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Confidence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more confidence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Confidence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more confidence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Willingness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more willingness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Willingness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more willingness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Enjoyment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more enjoyment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Enjoyment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more enjoyment</w:t>
            </w:r>
          </w:p>
        </w:tc>
      </w:tr>
    </w:tbl>
    <w:p/>
    <w:p>
      <w:r>
        <w:rPr>
          <w:b/>
          <w:color w:val="4A4B4C"/>
          <w:sz w:val="22"/>
        </w:rPr>
        <w:t>How to compute the result</w:t>
      </w:r>
    </w:p>
    <w:p>
      <w:r>
        <w:rPr>
          <w:sz w:val="20"/>
        </w:rPr>
        <w:t>1.  Reverse items 1, 2, 3 (6 minus the circled number).</w:t>
      </w:r>
    </w:p>
    <w:p>
      <w:r>
        <w:rPr>
          <w:sz w:val="20"/>
        </w:rPr>
        <w:t>2.  Average all 10 items → the student's overall confidence score (1–5).</w:t>
      </w:r>
    </w:p>
    <w:p>
      <w:r>
        <w:rPr>
          <w:sz w:val="20"/>
        </w:rPr>
        <w:t>3.  Optionally average by construct: Anxiety (1–3, reversed), Confidence (4–6), Willingness (7–8), Enjoyment (9–10).</w:t>
      </w:r>
    </w:p>
    <w:p>
      <w:r>
        <w:rPr>
          <w:sz w:val="20"/>
        </w:rPr>
        <w:t>4.  Impact = POST average − PRE average. Report the cohort mean change, not individuals.</w:t>
      </w:r>
    </w:p>
    <w:p>
      <w:r>
        <w:rPr>
          <w:sz w:val="20"/>
        </w:rPr>
        <w:t>5.  A rise of even +0.5 across the cohort is a meaningful affective gain.</w:t>
      </w:r>
    </w:p>
    <w:p>
      <w:r>
        <w:rPr>
          <w:i/>
          <w:color w:val="4A4B4C"/>
          <w:sz w:val="18"/>
        </w:rPr>
        <w:t>Translate every item into Kinyarwanda before Week 0 — especially for the extra-hour (lowest-baseline) cohort. If a student cannot read the English item, you are measuring reading, not feeling, and the result is invalid.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