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A50" w:rsidRPr="00C72D7B" w:rsidRDefault="00011A50" w:rsidP="00011A50">
      <w:pPr>
        <w:pStyle w:val="LEUHeadingOne"/>
        <w:rPr>
          <w:sz w:val="22"/>
        </w:rPr>
      </w:pPr>
      <w:r w:rsidRPr="00C72D7B">
        <w:rPr>
          <w:sz w:val="22"/>
        </w:rPr>
        <w:t xml:space="preserve">Draft prioritised StrEmbed-4 </w:t>
      </w:r>
      <w:r w:rsidRPr="00C72D7B">
        <w:rPr>
          <w:sz w:val="22"/>
        </w:rPr>
        <w:t>Specification</w:t>
      </w:r>
      <w:r w:rsidR="00C72D7B" w:rsidRPr="00C72D7B">
        <w:rPr>
          <w:sz w:val="22"/>
        </w:rPr>
        <w:t xml:space="preserve"> for the technology demonstrator</w:t>
      </w:r>
      <w:r w:rsidRPr="00C72D7B">
        <w:rPr>
          <w:sz w:val="22"/>
        </w:rPr>
        <w:t xml:space="preserve"> (</w:t>
      </w:r>
      <w:r w:rsidR="00C72D7B" w:rsidRPr="00C72D7B">
        <w:rPr>
          <w:sz w:val="22"/>
        </w:rPr>
        <w:t>requirements</w:t>
      </w:r>
      <w:r w:rsidRPr="00C72D7B">
        <w:rPr>
          <w:sz w:val="22"/>
        </w:rPr>
        <w:t xml:space="preserve"> copied from AKB/HHC doc)</w:t>
      </w:r>
    </w:p>
    <w:tbl>
      <w:tblPr>
        <w:tblStyle w:val="TableGrid"/>
        <w:tblW w:w="15168" w:type="dxa"/>
        <w:tblInd w:w="-431" w:type="dxa"/>
        <w:tblLayout w:type="fixed"/>
        <w:tblCellMar>
          <w:top w:w="28" w:type="dxa"/>
          <w:left w:w="28" w:type="dxa"/>
          <w:bottom w:w="28" w:type="dxa"/>
          <w:right w:w="28" w:type="dxa"/>
        </w:tblCellMar>
        <w:tblLook w:val="04A0" w:firstRow="1" w:lastRow="0" w:firstColumn="1" w:lastColumn="0" w:noHBand="0" w:noVBand="1"/>
      </w:tblPr>
      <w:tblGrid>
        <w:gridCol w:w="1135"/>
        <w:gridCol w:w="9072"/>
        <w:gridCol w:w="1701"/>
        <w:gridCol w:w="1630"/>
        <w:gridCol w:w="1630"/>
      </w:tblGrid>
      <w:tr w:rsidR="00C72D7B" w:rsidRPr="00011A50" w:rsidTr="00C72D7B">
        <w:trPr>
          <w:trHeight w:val="285"/>
        </w:trPr>
        <w:tc>
          <w:tcPr>
            <w:tcW w:w="1135" w:type="dxa"/>
            <w:vAlign w:val="bottom"/>
          </w:tcPr>
          <w:p w:rsidR="00C72D7B" w:rsidRPr="00011A50" w:rsidRDefault="00C72D7B" w:rsidP="00C72D7B">
            <w:pPr>
              <w:pStyle w:val="LEUHeadingOne"/>
              <w:spacing w:after="0" w:line="240" w:lineRule="auto"/>
              <w:rPr>
                <w:sz w:val="20"/>
              </w:rPr>
            </w:pPr>
            <w:r w:rsidRPr="00011A50">
              <w:rPr>
                <w:sz w:val="20"/>
              </w:rPr>
              <w:t>Area</w:t>
            </w:r>
          </w:p>
        </w:tc>
        <w:tc>
          <w:tcPr>
            <w:tcW w:w="9072" w:type="dxa"/>
            <w:vAlign w:val="bottom"/>
          </w:tcPr>
          <w:p w:rsidR="00C72D7B" w:rsidRPr="00011A50" w:rsidRDefault="00C72D7B" w:rsidP="00C72D7B">
            <w:pPr>
              <w:pStyle w:val="LEUHeadingOne"/>
              <w:spacing w:after="0" w:line="240" w:lineRule="auto"/>
              <w:rPr>
                <w:sz w:val="20"/>
              </w:rPr>
            </w:pPr>
            <w:r>
              <w:rPr>
                <w:sz w:val="20"/>
              </w:rPr>
              <w:t>Requirement</w:t>
            </w:r>
          </w:p>
        </w:tc>
        <w:tc>
          <w:tcPr>
            <w:tcW w:w="1701" w:type="dxa"/>
            <w:vAlign w:val="bottom"/>
          </w:tcPr>
          <w:p w:rsidR="00C72D7B" w:rsidRPr="00011A50" w:rsidRDefault="00C72D7B" w:rsidP="00C72D7B">
            <w:pPr>
              <w:pStyle w:val="LEUHeadingOne"/>
              <w:spacing w:after="0" w:line="240" w:lineRule="auto"/>
              <w:rPr>
                <w:sz w:val="20"/>
              </w:rPr>
            </w:pPr>
            <w:r>
              <w:rPr>
                <w:sz w:val="20"/>
              </w:rPr>
              <w:t>Priority level</w:t>
            </w:r>
          </w:p>
        </w:tc>
        <w:tc>
          <w:tcPr>
            <w:tcW w:w="1630" w:type="dxa"/>
            <w:vAlign w:val="bottom"/>
          </w:tcPr>
          <w:p w:rsidR="00C72D7B" w:rsidRDefault="00C72D7B" w:rsidP="00C72D7B">
            <w:pPr>
              <w:pStyle w:val="LEUHeadingOne"/>
              <w:spacing w:after="0" w:line="240" w:lineRule="auto"/>
              <w:jc w:val="center"/>
              <w:rPr>
                <w:sz w:val="20"/>
              </w:rPr>
            </w:pPr>
            <w:r>
              <w:rPr>
                <w:sz w:val="20"/>
              </w:rPr>
              <w:t>Importance</w:t>
            </w:r>
          </w:p>
        </w:tc>
        <w:tc>
          <w:tcPr>
            <w:tcW w:w="1630" w:type="dxa"/>
            <w:vAlign w:val="bottom"/>
          </w:tcPr>
          <w:p w:rsidR="00C72D7B" w:rsidRDefault="00C72D7B" w:rsidP="00C72D7B">
            <w:pPr>
              <w:pStyle w:val="LEUHeadingOne"/>
              <w:spacing w:after="0" w:line="240" w:lineRule="auto"/>
              <w:rPr>
                <w:sz w:val="20"/>
              </w:rPr>
            </w:pPr>
            <w:r>
              <w:rPr>
                <w:sz w:val="20"/>
              </w:rPr>
              <w:t xml:space="preserve">Days to </w:t>
            </w:r>
            <w:r>
              <w:rPr>
                <w:sz w:val="20"/>
              </w:rPr>
              <w:t>do</w:t>
            </w:r>
          </w:p>
        </w:tc>
      </w:tr>
      <w:tr w:rsidR="00C72D7B" w:rsidTr="00C72D7B">
        <w:tc>
          <w:tcPr>
            <w:tcW w:w="1135" w:type="dxa"/>
          </w:tcPr>
          <w:p w:rsidR="00C72D7B" w:rsidRPr="00011A50" w:rsidRDefault="00C72D7B" w:rsidP="00011A50">
            <w:pPr>
              <w:pStyle w:val="LEUHeadingTwo"/>
              <w:spacing w:line="240" w:lineRule="auto"/>
              <w:rPr>
                <w:b w:val="0"/>
              </w:rPr>
            </w:pPr>
            <w:r w:rsidRPr="00011A50">
              <w:rPr>
                <w:b w:val="0"/>
              </w:rPr>
              <w:t>Open file</w:t>
            </w:r>
          </w:p>
          <w:p w:rsidR="00C72D7B" w:rsidRDefault="00C72D7B" w:rsidP="00011A50">
            <w:pPr>
              <w:pStyle w:val="LEUHeadingOne"/>
              <w:spacing w:after="0" w:line="240" w:lineRule="auto"/>
            </w:pPr>
          </w:p>
        </w:tc>
        <w:tc>
          <w:tcPr>
            <w:tcW w:w="9072" w:type="dxa"/>
          </w:tcPr>
          <w:p w:rsidR="00C72D7B" w:rsidRDefault="00C72D7B" w:rsidP="00C72D7B">
            <w:pPr>
              <w:pStyle w:val="LEUBodyText"/>
              <w:numPr>
                <w:ilvl w:val="0"/>
                <w:numId w:val="1"/>
              </w:numPr>
              <w:spacing w:after="0" w:line="240" w:lineRule="auto"/>
              <w:ind w:left="397" w:hanging="397"/>
            </w:pPr>
            <w:r>
              <w:t xml:space="preserve">To read assembly files in STEP AP214 format that are generated by CAD systems.  STEP files exported via SolidWorks 2016 were used for testing.  </w:t>
            </w:r>
          </w:p>
        </w:tc>
        <w:tc>
          <w:tcPr>
            <w:tcW w:w="1701" w:type="dxa"/>
          </w:tcPr>
          <w:p w:rsidR="00C72D7B" w:rsidRPr="00011A50" w:rsidRDefault="00C72D7B" w:rsidP="00C72D7B">
            <w:pPr>
              <w:pStyle w:val="LEUHeadingOne"/>
              <w:spacing w:after="0" w:line="240" w:lineRule="auto"/>
              <w:rPr>
                <w:b w:val="0"/>
                <w:sz w:val="20"/>
              </w:rPr>
            </w:pPr>
            <w:r>
              <w:rPr>
                <w:b w:val="0"/>
                <w:sz w:val="20"/>
              </w:rPr>
              <w:t>Essential –cannot run without this</w:t>
            </w:r>
          </w:p>
        </w:tc>
        <w:tc>
          <w:tcPr>
            <w:tcW w:w="1630" w:type="dxa"/>
          </w:tcPr>
          <w:p w:rsidR="00C72D7B" w:rsidRDefault="00C72D7B" w:rsidP="00C72D7B">
            <w:pPr>
              <w:pStyle w:val="LEUHeadingOne"/>
              <w:spacing w:after="0" w:line="240" w:lineRule="auto"/>
              <w:jc w:val="center"/>
              <w:rPr>
                <w:b w:val="0"/>
                <w:sz w:val="20"/>
              </w:rPr>
            </w:pPr>
            <w:r>
              <w:rPr>
                <w:b w:val="0"/>
                <w:sz w:val="20"/>
              </w:rPr>
              <w:t>1</w:t>
            </w:r>
            <w:r w:rsidRPr="00C72D7B">
              <w:rPr>
                <w:b w:val="0"/>
                <w:sz w:val="20"/>
                <w:vertAlign w:val="superscript"/>
              </w:rPr>
              <w:t>st</w:t>
            </w:r>
            <w:r>
              <w:rPr>
                <w:b w:val="0"/>
                <w:sz w:val="20"/>
              </w:rPr>
              <w:t xml:space="preserve"> - Top</w:t>
            </w:r>
          </w:p>
        </w:tc>
        <w:tc>
          <w:tcPr>
            <w:tcW w:w="1630" w:type="dxa"/>
          </w:tcPr>
          <w:p w:rsidR="00C72D7B" w:rsidRDefault="00C72D7B" w:rsidP="00011A50">
            <w:pPr>
              <w:pStyle w:val="LEUHeadingOne"/>
              <w:spacing w:after="0" w:line="240" w:lineRule="auto"/>
              <w:rPr>
                <w:b w:val="0"/>
                <w:sz w:val="20"/>
              </w:rPr>
            </w:pPr>
            <w:bookmarkStart w:id="0" w:name="_GoBack"/>
            <w:bookmarkEnd w:id="0"/>
          </w:p>
        </w:tc>
      </w:tr>
      <w:tr w:rsidR="00C72D7B" w:rsidTr="00C72D7B">
        <w:tc>
          <w:tcPr>
            <w:tcW w:w="1135" w:type="dxa"/>
          </w:tcPr>
          <w:p w:rsidR="00C72D7B" w:rsidRDefault="00C72D7B" w:rsidP="00C72D7B">
            <w:pPr>
              <w:pStyle w:val="LEUBodyText"/>
            </w:pPr>
            <w:r w:rsidRPr="00011A50">
              <w:t>Assembly tree</w:t>
            </w:r>
          </w:p>
        </w:tc>
        <w:tc>
          <w:tcPr>
            <w:tcW w:w="9072" w:type="dxa"/>
          </w:tcPr>
          <w:p w:rsidR="00C72D7B" w:rsidRDefault="00C72D7B" w:rsidP="00011A50">
            <w:pPr>
              <w:pStyle w:val="LEUBodyText"/>
              <w:numPr>
                <w:ilvl w:val="0"/>
                <w:numId w:val="1"/>
              </w:numPr>
              <w:ind w:left="397" w:hanging="397"/>
            </w:pPr>
            <w:r>
              <w:t xml:space="preserve">To visualise graphically an assembly structure in two forms, an assembly tree and a </w:t>
            </w:r>
            <w:proofErr w:type="spellStart"/>
            <w:r>
              <w:t>Hasse</w:t>
            </w:r>
            <w:proofErr w:type="spellEnd"/>
            <w:r>
              <w:t xml:space="preserve"> diagram, entries of the former and the elements of the later are linked.</w:t>
            </w:r>
          </w:p>
        </w:tc>
        <w:tc>
          <w:tcPr>
            <w:tcW w:w="1701" w:type="dxa"/>
          </w:tcPr>
          <w:p w:rsidR="00C72D7B" w:rsidRDefault="00C72D7B" w:rsidP="00C72D7B">
            <w:pPr>
              <w:pStyle w:val="LEUHeadingOne"/>
              <w:spacing w:after="0" w:line="240" w:lineRule="auto"/>
            </w:pPr>
            <w:r>
              <w:rPr>
                <w:b w:val="0"/>
                <w:sz w:val="20"/>
              </w:rPr>
              <w:t>Desirable</w:t>
            </w:r>
            <w:r>
              <w:rPr>
                <w:b w:val="0"/>
                <w:sz w:val="20"/>
              </w:rPr>
              <w:t xml:space="preserve"> –</w:t>
            </w:r>
            <w:r>
              <w:rPr>
                <w:b w:val="0"/>
                <w:sz w:val="20"/>
              </w:rPr>
              <w:t>can</w:t>
            </w:r>
            <w:r>
              <w:rPr>
                <w:b w:val="0"/>
                <w:sz w:val="20"/>
              </w:rPr>
              <w:t xml:space="preserve"> run </w:t>
            </w:r>
            <w:r>
              <w:rPr>
                <w:b w:val="0"/>
                <w:sz w:val="20"/>
              </w:rPr>
              <w:t>with one visualisation</w:t>
            </w:r>
          </w:p>
        </w:tc>
        <w:tc>
          <w:tcPr>
            <w:tcW w:w="1630" w:type="dxa"/>
          </w:tcPr>
          <w:p w:rsidR="00C72D7B" w:rsidRDefault="0056671C" w:rsidP="00C72D7B">
            <w:pPr>
              <w:pStyle w:val="LEUHeadingOne"/>
              <w:spacing w:after="0" w:line="240" w:lineRule="auto"/>
              <w:jc w:val="center"/>
              <w:rPr>
                <w:b w:val="0"/>
                <w:sz w:val="20"/>
              </w:rPr>
            </w:pPr>
            <w:r>
              <w:rPr>
                <w:b w:val="0"/>
                <w:sz w:val="20"/>
              </w:rPr>
              <w:t>2</w:t>
            </w:r>
            <w:r w:rsidRPr="0056671C">
              <w:rPr>
                <w:b w:val="0"/>
                <w:sz w:val="20"/>
                <w:vertAlign w:val="superscript"/>
              </w:rPr>
              <w:t>nd</w:t>
            </w:r>
            <w:r>
              <w:rPr>
                <w:b w:val="0"/>
                <w:sz w:val="20"/>
              </w:rPr>
              <w:t xml:space="preserve"> </w:t>
            </w:r>
          </w:p>
        </w:tc>
        <w:tc>
          <w:tcPr>
            <w:tcW w:w="1630" w:type="dxa"/>
          </w:tcPr>
          <w:p w:rsidR="00C72D7B" w:rsidRDefault="00C72D7B" w:rsidP="00011A50">
            <w:pPr>
              <w:pStyle w:val="LEUHeadingOne"/>
              <w:spacing w:after="0" w:line="240" w:lineRule="auto"/>
              <w:rPr>
                <w:b w:val="0"/>
                <w:sz w:val="20"/>
              </w:rPr>
            </w:pPr>
          </w:p>
        </w:tc>
      </w:tr>
      <w:tr w:rsidR="00C72D7B" w:rsidTr="00C72D7B">
        <w:tc>
          <w:tcPr>
            <w:tcW w:w="1135" w:type="dxa"/>
          </w:tcPr>
          <w:p w:rsidR="00C72D7B" w:rsidRDefault="00C72D7B" w:rsidP="00011A50">
            <w:pPr>
              <w:pStyle w:val="LEUBodyText"/>
            </w:pPr>
            <w:r w:rsidRPr="00011A50">
              <w:t>Assembly tree</w:t>
            </w:r>
          </w:p>
        </w:tc>
        <w:tc>
          <w:tcPr>
            <w:tcW w:w="9072" w:type="dxa"/>
          </w:tcPr>
          <w:p w:rsidR="00C72D7B" w:rsidRDefault="00C72D7B" w:rsidP="00011A50">
            <w:pPr>
              <w:pStyle w:val="LEUBodyText"/>
              <w:numPr>
                <w:ilvl w:val="0"/>
                <w:numId w:val="1"/>
              </w:numPr>
              <w:ind w:left="397" w:hanging="397"/>
            </w:pPr>
            <w:r>
              <w:t>To display an assembly structure as a collapsible tree.  Each individual part is an indivisible atom for the purpose of interrogating an assembly structure.  A collapsed sub-assembly on the tree is also considered as an indivisible atom as long as it is not expanded.</w:t>
            </w:r>
          </w:p>
        </w:tc>
        <w:tc>
          <w:tcPr>
            <w:tcW w:w="1701" w:type="dxa"/>
          </w:tcPr>
          <w:p w:rsidR="00C72D7B" w:rsidRPr="00011A50" w:rsidRDefault="00C72D7B" w:rsidP="00C72D7B">
            <w:pPr>
              <w:pStyle w:val="LEUHeadingOne"/>
              <w:spacing w:after="0" w:line="240" w:lineRule="auto"/>
              <w:rPr>
                <w:b w:val="0"/>
                <w:sz w:val="20"/>
              </w:rPr>
            </w:pPr>
            <w:r>
              <w:rPr>
                <w:b w:val="0"/>
                <w:sz w:val="20"/>
              </w:rPr>
              <w:t>Nice to have –can run without this; CAD can already do this</w:t>
            </w:r>
          </w:p>
        </w:tc>
        <w:tc>
          <w:tcPr>
            <w:tcW w:w="1630" w:type="dxa"/>
          </w:tcPr>
          <w:p w:rsidR="00C72D7B" w:rsidRDefault="0056671C" w:rsidP="00C72D7B">
            <w:pPr>
              <w:pStyle w:val="LEUHeadingOne"/>
              <w:spacing w:after="0" w:line="240" w:lineRule="auto"/>
              <w:jc w:val="center"/>
              <w:rPr>
                <w:b w:val="0"/>
                <w:sz w:val="20"/>
              </w:rPr>
            </w:pPr>
            <w:r>
              <w:rPr>
                <w:b w:val="0"/>
                <w:sz w:val="20"/>
              </w:rPr>
              <w:t>4</w:t>
            </w:r>
            <w:r w:rsidRPr="0056671C">
              <w:rPr>
                <w:b w:val="0"/>
                <w:sz w:val="20"/>
                <w:vertAlign w:val="superscript"/>
              </w:rPr>
              <w:t>th</w:t>
            </w:r>
            <w:r>
              <w:rPr>
                <w:b w:val="0"/>
                <w:sz w:val="20"/>
              </w:rPr>
              <w:t xml:space="preserve"> </w:t>
            </w:r>
          </w:p>
        </w:tc>
        <w:tc>
          <w:tcPr>
            <w:tcW w:w="1630" w:type="dxa"/>
          </w:tcPr>
          <w:p w:rsidR="00C72D7B" w:rsidRDefault="00C72D7B" w:rsidP="00011A50">
            <w:pPr>
              <w:pStyle w:val="LEUHeadingOne"/>
              <w:spacing w:after="0" w:line="240" w:lineRule="auto"/>
              <w:rPr>
                <w:b w:val="0"/>
                <w:sz w:val="20"/>
              </w:rPr>
            </w:pPr>
          </w:p>
        </w:tc>
      </w:tr>
      <w:tr w:rsidR="00C72D7B" w:rsidTr="00C72D7B">
        <w:tc>
          <w:tcPr>
            <w:tcW w:w="1135" w:type="dxa"/>
          </w:tcPr>
          <w:p w:rsidR="00C72D7B" w:rsidRDefault="00C72D7B" w:rsidP="00011A50">
            <w:pPr>
              <w:pStyle w:val="LEUBodyText"/>
            </w:pPr>
            <w:proofErr w:type="spellStart"/>
            <w:r w:rsidRPr="00011A50">
              <w:t>Hasse</w:t>
            </w:r>
            <w:proofErr w:type="spellEnd"/>
            <w:r w:rsidRPr="00011A50">
              <w:t xml:space="preserve"> diagram</w:t>
            </w:r>
          </w:p>
        </w:tc>
        <w:tc>
          <w:tcPr>
            <w:tcW w:w="9072" w:type="dxa"/>
          </w:tcPr>
          <w:p w:rsidR="00C72D7B" w:rsidRDefault="00C72D7B" w:rsidP="00011A50">
            <w:pPr>
              <w:pStyle w:val="LEUBodyText"/>
              <w:numPr>
                <w:ilvl w:val="0"/>
                <w:numId w:val="1"/>
              </w:numPr>
              <w:ind w:left="397" w:hanging="397"/>
            </w:pPr>
            <w:r>
              <w:t xml:space="preserve">To display an assembly structure as a </w:t>
            </w:r>
            <w:proofErr w:type="spellStart"/>
            <w:r>
              <w:t>Hasse</w:t>
            </w:r>
            <w:proofErr w:type="spellEnd"/>
            <w:r>
              <w:t xml:space="preserve"> diagram.  A shadow hypercube lattice could be shown in the background to represent all possibly assembly structures for a given number of atoms (parts or collapsed sub-assemblies).  To show graphically that the </w:t>
            </w:r>
            <w:proofErr w:type="spellStart"/>
            <w:r>
              <w:t>Hasse</w:t>
            </w:r>
            <w:proofErr w:type="spellEnd"/>
            <w:r>
              <w:t xml:space="preserve"> diagram is embedded onto the corresponding hypercube lattice.</w:t>
            </w:r>
          </w:p>
        </w:tc>
        <w:tc>
          <w:tcPr>
            <w:tcW w:w="1701" w:type="dxa"/>
          </w:tcPr>
          <w:p w:rsidR="00C72D7B" w:rsidRPr="00011A50" w:rsidRDefault="00C72D7B" w:rsidP="00C72D7B">
            <w:pPr>
              <w:pStyle w:val="LEUHeadingOne"/>
              <w:spacing w:after="0" w:line="240" w:lineRule="auto"/>
              <w:rPr>
                <w:b w:val="0"/>
                <w:sz w:val="20"/>
              </w:rPr>
            </w:pPr>
            <w:r>
              <w:rPr>
                <w:b w:val="0"/>
                <w:sz w:val="20"/>
              </w:rPr>
              <w:t xml:space="preserve">Essential –cannot </w:t>
            </w:r>
            <w:r>
              <w:rPr>
                <w:b w:val="0"/>
                <w:sz w:val="20"/>
              </w:rPr>
              <w:t>show embedding without this</w:t>
            </w:r>
          </w:p>
        </w:tc>
        <w:tc>
          <w:tcPr>
            <w:tcW w:w="1630" w:type="dxa"/>
          </w:tcPr>
          <w:p w:rsidR="00C72D7B" w:rsidRDefault="00C72D7B" w:rsidP="00C72D7B">
            <w:pPr>
              <w:pStyle w:val="LEUHeadingOne"/>
              <w:spacing w:after="0" w:line="240" w:lineRule="auto"/>
              <w:jc w:val="center"/>
              <w:rPr>
                <w:b w:val="0"/>
                <w:sz w:val="20"/>
              </w:rPr>
            </w:pPr>
            <w:r>
              <w:rPr>
                <w:b w:val="0"/>
                <w:sz w:val="20"/>
              </w:rPr>
              <w:t>1</w:t>
            </w:r>
            <w:r w:rsidRPr="00C72D7B">
              <w:rPr>
                <w:b w:val="0"/>
                <w:sz w:val="20"/>
                <w:vertAlign w:val="superscript"/>
              </w:rPr>
              <w:t>st</w:t>
            </w:r>
            <w:r>
              <w:rPr>
                <w:b w:val="0"/>
                <w:sz w:val="20"/>
              </w:rPr>
              <w:t xml:space="preserve"> - </w:t>
            </w:r>
            <w:r>
              <w:rPr>
                <w:b w:val="0"/>
                <w:sz w:val="20"/>
              </w:rPr>
              <w:t>Top</w:t>
            </w:r>
          </w:p>
        </w:tc>
        <w:tc>
          <w:tcPr>
            <w:tcW w:w="1630" w:type="dxa"/>
          </w:tcPr>
          <w:p w:rsidR="00C72D7B" w:rsidRDefault="00C72D7B" w:rsidP="00011A50">
            <w:pPr>
              <w:pStyle w:val="LEUHeadingOne"/>
              <w:spacing w:after="0" w:line="240" w:lineRule="auto"/>
              <w:rPr>
                <w:b w:val="0"/>
                <w:sz w:val="20"/>
              </w:rPr>
            </w:pPr>
          </w:p>
        </w:tc>
      </w:tr>
      <w:tr w:rsidR="00C72D7B" w:rsidTr="00C72D7B">
        <w:tc>
          <w:tcPr>
            <w:tcW w:w="1135" w:type="dxa"/>
          </w:tcPr>
          <w:p w:rsidR="00C72D7B" w:rsidRDefault="00C72D7B" w:rsidP="00C72D7B">
            <w:pPr>
              <w:pStyle w:val="LEUBodyText"/>
            </w:pPr>
            <w:r w:rsidRPr="00011A50">
              <w:t>Extractio</w:t>
            </w:r>
            <w:r>
              <w:t>n of info</w:t>
            </w:r>
            <w:r w:rsidRPr="00011A50">
              <w:t xml:space="preserve"> of an assembly structure</w:t>
            </w:r>
          </w:p>
        </w:tc>
        <w:tc>
          <w:tcPr>
            <w:tcW w:w="9072" w:type="dxa"/>
          </w:tcPr>
          <w:p w:rsidR="00C72D7B" w:rsidRDefault="00C72D7B" w:rsidP="00011A50">
            <w:pPr>
              <w:pStyle w:val="LEUBodyText"/>
              <w:numPr>
                <w:ilvl w:val="0"/>
                <w:numId w:val="1"/>
              </w:numPr>
              <w:ind w:left="397" w:hanging="397"/>
            </w:pPr>
            <w:r>
              <w:t xml:space="preserve">To highlight a part or a sub-assembly by moving a cursor over corresponding graphical item in the </w:t>
            </w:r>
            <w:proofErr w:type="spellStart"/>
            <w:r>
              <w:t>Hasse</w:t>
            </w:r>
            <w:proofErr w:type="spellEnd"/>
            <w:r>
              <w:t xml:space="preserve"> diagram.  Simultaneously the corresponding part or sub-assembly at the assembly tree will be highlight.  It is optional to show information related to a selected entity.</w:t>
            </w:r>
          </w:p>
        </w:tc>
        <w:tc>
          <w:tcPr>
            <w:tcW w:w="1701" w:type="dxa"/>
          </w:tcPr>
          <w:p w:rsidR="00C72D7B" w:rsidRPr="00011A50" w:rsidRDefault="00C72D7B" w:rsidP="00C72D7B">
            <w:pPr>
              <w:pStyle w:val="LEUHeadingOne"/>
              <w:spacing w:after="0" w:line="240" w:lineRule="auto"/>
              <w:rPr>
                <w:b w:val="0"/>
                <w:sz w:val="20"/>
              </w:rPr>
            </w:pPr>
            <w:r>
              <w:rPr>
                <w:b w:val="0"/>
                <w:sz w:val="20"/>
              </w:rPr>
              <w:t>Nice to have –</w:t>
            </w:r>
            <w:r>
              <w:rPr>
                <w:b w:val="0"/>
                <w:sz w:val="20"/>
              </w:rPr>
              <w:t>can run without this</w:t>
            </w:r>
          </w:p>
        </w:tc>
        <w:tc>
          <w:tcPr>
            <w:tcW w:w="1630" w:type="dxa"/>
          </w:tcPr>
          <w:p w:rsidR="00C72D7B" w:rsidRDefault="0056671C" w:rsidP="00C72D7B">
            <w:pPr>
              <w:pStyle w:val="LEUHeadingOne"/>
              <w:spacing w:after="0" w:line="240" w:lineRule="auto"/>
              <w:jc w:val="center"/>
              <w:rPr>
                <w:b w:val="0"/>
                <w:sz w:val="20"/>
              </w:rPr>
            </w:pPr>
            <w:r>
              <w:rPr>
                <w:b w:val="0"/>
                <w:sz w:val="20"/>
              </w:rPr>
              <w:t>4</w:t>
            </w:r>
            <w:r w:rsidRPr="0056671C">
              <w:rPr>
                <w:b w:val="0"/>
                <w:sz w:val="20"/>
                <w:vertAlign w:val="superscript"/>
              </w:rPr>
              <w:t>th</w:t>
            </w:r>
          </w:p>
        </w:tc>
        <w:tc>
          <w:tcPr>
            <w:tcW w:w="1630" w:type="dxa"/>
          </w:tcPr>
          <w:p w:rsidR="00C72D7B" w:rsidRDefault="00C72D7B" w:rsidP="00011A50">
            <w:pPr>
              <w:pStyle w:val="LEUHeadingOne"/>
              <w:spacing w:after="0" w:line="240" w:lineRule="auto"/>
              <w:rPr>
                <w:b w:val="0"/>
                <w:sz w:val="20"/>
              </w:rPr>
            </w:pPr>
          </w:p>
        </w:tc>
      </w:tr>
      <w:tr w:rsidR="00C72D7B" w:rsidTr="00C72D7B">
        <w:tc>
          <w:tcPr>
            <w:tcW w:w="1135" w:type="dxa"/>
          </w:tcPr>
          <w:p w:rsidR="00C72D7B" w:rsidRPr="00011A50" w:rsidRDefault="00C72D7B" w:rsidP="00C72D7B">
            <w:pPr>
              <w:pStyle w:val="LEUBodyText"/>
            </w:pPr>
            <w:r w:rsidRPr="00011A50">
              <w:t>Extractio</w:t>
            </w:r>
            <w:r>
              <w:t xml:space="preserve">n of info </w:t>
            </w:r>
            <w:r w:rsidRPr="00011A50">
              <w:t>of an assembly structure</w:t>
            </w:r>
          </w:p>
        </w:tc>
        <w:tc>
          <w:tcPr>
            <w:tcW w:w="9072" w:type="dxa"/>
          </w:tcPr>
          <w:p w:rsidR="00C72D7B" w:rsidRDefault="00C72D7B" w:rsidP="00011A50">
            <w:pPr>
              <w:pStyle w:val="LEUBodyText"/>
              <w:numPr>
                <w:ilvl w:val="0"/>
                <w:numId w:val="1"/>
              </w:numPr>
              <w:ind w:left="397" w:hanging="397"/>
            </w:pPr>
            <w:r>
              <w:t xml:space="preserve">To show the feasibility of relating nodes of a </w:t>
            </w:r>
            <w:proofErr w:type="spellStart"/>
            <w:r>
              <w:t>Hasse</w:t>
            </w:r>
            <w:proofErr w:type="spellEnd"/>
            <w:r>
              <w:t xml:space="preserve"> diagram and items of an assembly tree to a pre-processed image that shows the geometries of a product, in this case a robot arm.  A potential extension of this approach is to use OpenGL or VRML or equivalent to visualise a product in real-time instead of using a pre-processed image.</w:t>
            </w:r>
          </w:p>
        </w:tc>
        <w:tc>
          <w:tcPr>
            <w:tcW w:w="1701" w:type="dxa"/>
          </w:tcPr>
          <w:p w:rsidR="00C72D7B" w:rsidRPr="00011A50" w:rsidRDefault="00C72D7B" w:rsidP="00C72D7B">
            <w:pPr>
              <w:pStyle w:val="LEUHeadingOne"/>
              <w:spacing w:after="0" w:line="240" w:lineRule="auto"/>
              <w:rPr>
                <w:b w:val="0"/>
                <w:sz w:val="20"/>
              </w:rPr>
            </w:pPr>
            <w:r>
              <w:rPr>
                <w:b w:val="0"/>
                <w:sz w:val="20"/>
              </w:rPr>
              <w:t>Very n</w:t>
            </w:r>
            <w:r>
              <w:rPr>
                <w:b w:val="0"/>
                <w:sz w:val="20"/>
              </w:rPr>
              <w:t xml:space="preserve">ice to have – </w:t>
            </w:r>
            <w:r>
              <w:rPr>
                <w:b w:val="0"/>
                <w:sz w:val="20"/>
              </w:rPr>
              <w:t xml:space="preserve">but </w:t>
            </w:r>
            <w:r>
              <w:rPr>
                <w:b w:val="0"/>
                <w:sz w:val="20"/>
              </w:rPr>
              <w:t>can run without this</w:t>
            </w:r>
          </w:p>
        </w:tc>
        <w:tc>
          <w:tcPr>
            <w:tcW w:w="1630" w:type="dxa"/>
          </w:tcPr>
          <w:p w:rsidR="00C72D7B" w:rsidRDefault="0056671C" w:rsidP="00C72D7B">
            <w:pPr>
              <w:pStyle w:val="LEUHeadingOne"/>
              <w:spacing w:after="0" w:line="240" w:lineRule="auto"/>
              <w:jc w:val="center"/>
              <w:rPr>
                <w:b w:val="0"/>
                <w:sz w:val="20"/>
              </w:rPr>
            </w:pPr>
            <w:r>
              <w:rPr>
                <w:b w:val="0"/>
                <w:sz w:val="20"/>
              </w:rPr>
              <w:t>3</w:t>
            </w:r>
            <w:r w:rsidRPr="0056671C">
              <w:rPr>
                <w:b w:val="0"/>
                <w:sz w:val="20"/>
                <w:vertAlign w:val="superscript"/>
              </w:rPr>
              <w:t>rd</w:t>
            </w:r>
            <w:r>
              <w:rPr>
                <w:b w:val="0"/>
                <w:sz w:val="20"/>
              </w:rPr>
              <w:t xml:space="preserve"> </w:t>
            </w:r>
          </w:p>
        </w:tc>
        <w:tc>
          <w:tcPr>
            <w:tcW w:w="1630" w:type="dxa"/>
          </w:tcPr>
          <w:p w:rsidR="00C72D7B" w:rsidRDefault="00C72D7B" w:rsidP="00011A50">
            <w:pPr>
              <w:pStyle w:val="LEUHeadingOne"/>
              <w:spacing w:after="0" w:line="240" w:lineRule="auto"/>
              <w:rPr>
                <w:b w:val="0"/>
                <w:sz w:val="20"/>
              </w:rPr>
            </w:pPr>
          </w:p>
        </w:tc>
      </w:tr>
      <w:tr w:rsidR="00C72D7B" w:rsidTr="00C72D7B">
        <w:tc>
          <w:tcPr>
            <w:tcW w:w="1135" w:type="dxa"/>
          </w:tcPr>
          <w:p w:rsidR="00C72D7B" w:rsidRPr="00011A50" w:rsidRDefault="00C72D7B" w:rsidP="00011A50">
            <w:pPr>
              <w:pStyle w:val="LEUBodyText"/>
            </w:pPr>
            <w:r w:rsidRPr="00011A50">
              <w:t>Modification of assembly structure</w:t>
            </w:r>
          </w:p>
        </w:tc>
        <w:tc>
          <w:tcPr>
            <w:tcW w:w="9072" w:type="dxa"/>
          </w:tcPr>
          <w:p w:rsidR="00C72D7B" w:rsidRDefault="00C72D7B" w:rsidP="00011A50">
            <w:pPr>
              <w:pStyle w:val="LEUBodyText"/>
              <w:numPr>
                <w:ilvl w:val="0"/>
                <w:numId w:val="1"/>
              </w:numPr>
              <w:ind w:left="397" w:hanging="397"/>
            </w:pPr>
            <w:r>
              <w:t xml:space="preserve">To modify an assembly tree to support another stage of product life cycle.  For example, if an input product structure represents a product as-design, modified assembly structures could represent the product as-built, as-ship, or as-maintain, </w:t>
            </w:r>
            <w:proofErr w:type="spellStart"/>
            <w:r>
              <w:t>etc</w:t>
            </w:r>
            <w:proofErr w:type="spellEnd"/>
          </w:p>
        </w:tc>
        <w:tc>
          <w:tcPr>
            <w:tcW w:w="1701" w:type="dxa"/>
            <w:shd w:val="clear" w:color="auto" w:fill="FFFF00"/>
          </w:tcPr>
          <w:p w:rsidR="00C72D7B" w:rsidRPr="00011A50" w:rsidRDefault="00C72D7B" w:rsidP="00011A50">
            <w:pPr>
              <w:pStyle w:val="LEUHeadingOne"/>
              <w:spacing w:after="0" w:line="240" w:lineRule="auto"/>
              <w:rPr>
                <w:b w:val="0"/>
                <w:sz w:val="20"/>
              </w:rPr>
            </w:pPr>
            <w:r>
              <w:rPr>
                <w:b w:val="0"/>
                <w:sz w:val="20"/>
              </w:rPr>
              <w:t>Q: Is this to reconfigure a structure?</w:t>
            </w:r>
          </w:p>
        </w:tc>
        <w:tc>
          <w:tcPr>
            <w:tcW w:w="1630" w:type="dxa"/>
          </w:tcPr>
          <w:p w:rsidR="00C72D7B" w:rsidRDefault="0056671C" w:rsidP="00C72D7B">
            <w:pPr>
              <w:pStyle w:val="LEUHeadingOne"/>
              <w:spacing w:after="0" w:line="240" w:lineRule="auto"/>
              <w:jc w:val="center"/>
              <w:rPr>
                <w:b w:val="0"/>
                <w:sz w:val="20"/>
              </w:rPr>
            </w:pPr>
            <w:r>
              <w:rPr>
                <w:b w:val="0"/>
                <w:sz w:val="20"/>
              </w:rPr>
              <w:t>1</w:t>
            </w:r>
            <w:r w:rsidRPr="00C72D7B">
              <w:rPr>
                <w:b w:val="0"/>
                <w:sz w:val="20"/>
                <w:vertAlign w:val="superscript"/>
              </w:rPr>
              <w:t>st</w:t>
            </w:r>
            <w:r>
              <w:rPr>
                <w:b w:val="0"/>
                <w:sz w:val="20"/>
              </w:rPr>
              <w:t xml:space="preserve"> </w:t>
            </w:r>
            <w:r>
              <w:rPr>
                <w:b w:val="0"/>
                <w:sz w:val="20"/>
              </w:rPr>
              <w:t>– Top – if A2Q is Yes</w:t>
            </w:r>
          </w:p>
        </w:tc>
        <w:tc>
          <w:tcPr>
            <w:tcW w:w="1630" w:type="dxa"/>
          </w:tcPr>
          <w:p w:rsidR="00C72D7B" w:rsidRDefault="00C72D7B" w:rsidP="00011A50">
            <w:pPr>
              <w:pStyle w:val="LEUHeadingOne"/>
              <w:spacing w:after="0" w:line="240" w:lineRule="auto"/>
              <w:rPr>
                <w:b w:val="0"/>
                <w:sz w:val="20"/>
              </w:rPr>
            </w:pPr>
          </w:p>
        </w:tc>
      </w:tr>
      <w:tr w:rsidR="00C72D7B" w:rsidTr="00C72D7B">
        <w:tc>
          <w:tcPr>
            <w:tcW w:w="1135" w:type="dxa"/>
          </w:tcPr>
          <w:p w:rsidR="00C72D7B" w:rsidRPr="00011A50" w:rsidRDefault="00C72D7B" w:rsidP="00011A50">
            <w:pPr>
              <w:pStyle w:val="LEUBodyText"/>
            </w:pPr>
            <w:r w:rsidRPr="00011A50">
              <w:t>Modification of assembly structure</w:t>
            </w:r>
          </w:p>
        </w:tc>
        <w:tc>
          <w:tcPr>
            <w:tcW w:w="9072" w:type="dxa"/>
          </w:tcPr>
          <w:p w:rsidR="00C72D7B" w:rsidRDefault="00C72D7B" w:rsidP="00011A50">
            <w:pPr>
              <w:pStyle w:val="LEUBodyText"/>
              <w:numPr>
                <w:ilvl w:val="0"/>
                <w:numId w:val="1"/>
              </w:numPr>
              <w:ind w:left="397" w:hanging="397"/>
            </w:pPr>
            <w:r>
              <w:t>To</w:t>
            </w:r>
            <w:r>
              <w:t xml:space="preserve"> afford a user interface allowing modification of an assembly structure that operates on the assembly tree.  It is anticipated that different product structures are not entirely different from one another, but it could be morphed from one to another with a small number of changes.</w:t>
            </w:r>
          </w:p>
        </w:tc>
        <w:tc>
          <w:tcPr>
            <w:tcW w:w="1701" w:type="dxa"/>
          </w:tcPr>
          <w:p w:rsidR="00C72D7B" w:rsidRPr="00011A50" w:rsidRDefault="00C72D7B" w:rsidP="00C72D7B">
            <w:pPr>
              <w:pStyle w:val="LEUHeadingOne"/>
              <w:spacing w:after="0" w:line="240" w:lineRule="auto"/>
              <w:rPr>
                <w:b w:val="0"/>
                <w:sz w:val="20"/>
              </w:rPr>
            </w:pPr>
            <w:r>
              <w:rPr>
                <w:b w:val="0"/>
                <w:sz w:val="20"/>
              </w:rPr>
              <w:t>Nice to have –</w:t>
            </w:r>
            <w:r>
              <w:rPr>
                <w:b w:val="0"/>
                <w:sz w:val="20"/>
              </w:rPr>
              <w:t>can run without this</w:t>
            </w:r>
          </w:p>
        </w:tc>
        <w:tc>
          <w:tcPr>
            <w:tcW w:w="1630" w:type="dxa"/>
          </w:tcPr>
          <w:p w:rsidR="00C72D7B" w:rsidRDefault="0056671C" w:rsidP="00C72D7B">
            <w:pPr>
              <w:pStyle w:val="LEUHeadingOne"/>
              <w:spacing w:after="0" w:line="240" w:lineRule="auto"/>
              <w:jc w:val="center"/>
              <w:rPr>
                <w:b w:val="0"/>
                <w:sz w:val="20"/>
              </w:rPr>
            </w:pPr>
            <w:r>
              <w:rPr>
                <w:b w:val="0"/>
                <w:sz w:val="20"/>
              </w:rPr>
              <w:t>4</w:t>
            </w:r>
            <w:r w:rsidRPr="0056671C">
              <w:rPr>
                <w:b w:val="0"/>
                <w:sz w:val="20"/>
                <w:vertAlign w:val="superscript"/>
              </w:rPr>
              <w:t>th</w:t>
            </w:r>
          </w:p>
        </w:tc>
        <w:tc>
          <w:tcPr>
            <w:tcW w:w="1630" w:type="dxa"/>
          </w:tcPr>
          <w:p w:rsidR="00C72D7B" w:rsidRDefault="00C72D7B" w:rsidP="00011A50">
            <w:pPr>
              <w:pStyle w:val="LEUHeadingOne"/>
              <w:spacing w:after="0" w:line="240" w:lineRule="auto"/>
              <w:rPr>
                <w:b w:val="0"/>
                <w:sz w:val="20"/>
              </w:rPr>
            </w:pPr>
          </w:p>
        </w:tc>
      </w:tr>
      <w:tr w:rsidR="00C72D7B" w:rsidTr="00C72D7B">
        <w:tc>
          <w:tcPr>
            <w:tcW w:w="1135" w:type="dxa"/>
          </w:tcPr>
          <w:p w:rsidR="00C72D7B" w:rsidRPr="00011A50" w:rsidRDefault="00C72D7B" w:rsidP="00011A50">
            <w:pPr>
              <w:pStyle w:val="LEUBodyText"/>
            </w:pPr>
            <w:r w:rsidRPr="00011A50">
              <w:t>Save file</w:t>
            </w:r>
          </w:p>
          <w:p w:rsidR="00C72D7B" w:rsidRPr="00011A50" w:rsidRDefault="00C72D7B" w:rsidP="00011A50">
            <w:pPr>
              <w:pStyle w:val="LEUBodyText"/>
            </w:pPr>
          </w:p>
        </w:tc>
        <w:tc>
          <w:tcPr>
            <w:tcW w:w="9072" w:type="dxa"/>
          </w:tcPr>
          <w:p w:rsidR="00C72D7B" w:rsidRDefault="00C72D7B" w:rsidP="00C72D7B">
            <w:pPr>
              <w:pStyle w:val="LEUBodyText"/>
              <w:numPr>
                <w:ilvl w:val="0"/>
                <w:numId w:val="1"/>
              </w:numPr>
              <w:ind w:left="397" w:hanging="397"/>
            </w:pPr>
            <w:r>
              <w:t xml:space="preserve">To save a modified assembly structure as a STEP AP214 which is readable by CAD systems.  Output STEP files were imported and tested using </w:t>
            </w:r>
            <w:proofErr w:type="spellStart"/>
            <w:r>
              <w:t>using</w:t>
            </w:r>
            <w:proofErr w:type="spellEnd"/>
            <w:r>
              <w:t xml:space="preserve"> SolidWorks 2016.  </w:t>
            </w:r>
          </w:p>
        </w:tc>
        <w:tc>
          <w:tcPr>
            <w:tcW w:w="1701" w:type="dxa"/>
          </w:tcPr>
          <w:p w:rsidR="00C72D7B" w:rsidRPr="00011A50" w:rsidRDefault="00C72D7B" w:rsidP="00C72D7B">
            <w:pPr>
              <w:pStyle w:val="LEUHeadingOne"/>
              <w:spacing w:after="0" w:line="240" w:lineRule="auto"/>
              <w:rPr>
                <w:b w:val="0"/>
                <w:sz w:val="20"/>
              </w:rPr>
            </w:pPr>
            <w:r>
              <w:rPr>
                <w:b w:val="0"/>
                <w:sz w:val="20"/>
              </w:rPr>
              <w:t>Desirable –can</w:t>
            </w:r>
            <w:r>
              <w:rPr>
                <w:b w:val="0"/>
                <w:sz w:val="20"/>
              </w:rPr>
              <w:t xml:space="preserve"> </w:t>
            </w:r>
            <w:r>
              <w:rPr>
                <w:b w:val="0"/>
                <w:sz w:val="20"/>
              </w:rPr>
              <w:t xml:space="preserve">run </w:t>
            </w:r>
            <w:r>
              <w:rPr>
                <w:b w:val="0"/>
                <w:sz w:val="20"/>
              </w:rPr>
              <w:t>without this</w:t>
            </w:r>
          </w:p>
        </w:tc>
        <w:tc>
          <w:tcPr>
            <w:tcW w:w="1630" w:type="dxa"/>
          </w:tcPr>
          <w:p w:rsidR="00C72D7B" w:rsidRPr="00011A50" w:rsidRDefault="0056671C" w:rsidP="00C72D7B">
            <w:pPr>
              <w:pStyle w:val="LEUHeadingOne"/>
              <w:spacing w:after="0" w:line="240" w:lineRule="auto"/>
              <w:jc w:val="center"/>
              <w:rPr>
                <w:b w:val="0"/>
                <w:sz w:val="20"/>
              </w:rPr>
            </w:pPr>
            <w:r>
              <w:rPr>
                <w:b w:val="0"/>
                <w:sz w:val="20"/>
              </w:rPr>
              <w:t>2</w:t>
            </w:r>
            <w:r w:rsidRPr="0056671C">
              <w:rPr>
                <w:b w:val="0"/>
                <w:sz w:val="20"/>
                <w:vertAlign w:val="superscript"/>
              </w:rPr>
              <w:t>nd</w:t>
            </w:r>
            <w:r>
              <w:rPr>
                <w:b w:val="0"/>
                <w:sz w:val="20"/>
              </w:rPr>
              <w:t xml:space="preserve"> </w:t>
            </w:r>
          </w:p>
        </w:tc>
        <w:tc>
          <w:tcPr>
            <w:tcW w:w="1630" w:type="dxa"/>
          </w:tcPr>
          <w:p w:rsidR="00C72D7B" w:rsidRPr="00011A50" w:rsidRDefault="00C72D7B" w:rsidP="00011A50">
            <w:pPr>
              <w:pStyle w:val="LEUHeadingOne"/>
              <w:spacing w:after="0" w:line="240" w:lineRule="auto"/>
              <w:rPr>
                <w:b w:val="0"/>
                <w:sz w:val="20"/>
              </w:rPr>
            </w:pPr>
          </w:p>
        </w:tc>
      </w:tr>
      <w:tr w:rsidR="00C72D7B" w:rsidTr="00C72D7B">
        <w:tc>
          <w:tcPr>
            <w:tcW w:w="1135" w:type="dxa"/>
          </w:tcPr>
          <w:p w:rsidR="00C72D7B" w:rsidRPr="00011A50" w:rsidRDefault="00C72D7B" w:rsidP="00011A50">
            <w:pPr>
              <w:pStyle w:val="LEUBodyText"/>
            </w:pPr>
            <w:r w:rsidRPr="00011A50">
              <w:t>User interface</w:t>
            </w:r>
          </w:p>
        </w:tc>
        <w:tc>
          <w:tcPr>
            <w:tcW w:w="9072" w:type="dxa"/>
          </w:tcPr>
          <w:p w:rsidR="00C72D7B" w:rsidRDefault="00C72D7B" w:rsidP="00011A50">
            <w:pPr>
              <w:pStyle w:val="LEUBodyText"/>
              <w:numPr>
                <w:ilvl w:val="0"/>
                <w:numId w:val="1"/>
              </w:numPr>
              <w:ind w:left="397" w:hanging="397"/>
            </w:pPr>
            <w:r>
              <w:t>To afford basic user expectation of a typical pull down menu driven graphical user interface, including open and save files at locations of users’ choices, usage instructions and help, progress indicators and messages if appropriate, graceful exception handling</w:t>
            </w:r>
            <w:r w:rsidRPr="00B36A63">
              <w:t xml:space="preserve"> </w:t>
            </w:r>
            <w:r>
              <w:t>and error messages.</w:t>
            </w:r>
          </w:p>
        </w:tc>
        <w:tc>
          <w:tcPr>
            <w:tcW w:w="1701" w:type="dxa"/>
          </w:tcPr>
          <w:p w:rsidR="00C72D7B" w:rsidRPr="00011A50" w:rsidRDefault="00C72D7B" w:rsidP="00C72D7B">
            <w:pPr>
              <w:pStyle w:val="LEUHeadingOne"/>
              <w:spacing w:after="0" w:line="240" w:lineRule="auto"/>
              <w:rPr>
                <w:b w:val="0"/>
                <w:sz w:val="20"/>
              </w:rPr>
            </w:pPr>
            <w:r>
              <w:rPr>
                <w:b w:val="0"/>
                <w:sz w:val="20"/>
              </w:rPr>
              <w:t>Nice to have –can run without this</w:t>
            </w:r>
          </w:p>
        </w:tc>
        <w:tc>
          <w:tcPr>
            <w:tcW w:w="1630" w:type="dxa"/>
          </w:tcPr>
          <w:p w:rsidR="00C72D7B" w:rsidRPr="00011A50" w:rsidRDefault="0056671C" w:rsidP="00C72D7B">
            <w:pPr>
              <w:pStyle w:val="LEUHeadingOne"/>
              <w:spacing w:after="0" w:line="240" w:lineRule="auto"/>
              <w:jc w:val="center"/>
              <w:rPr>
                <w:b w:val="0"/>
                <w:sz w:val="20"/>
              </w:rPr>
            </w:pPr>
            <w:r>
              <w:rPr>
                <w:b w:val="0"/>
                <w:sz w:val="20"/>
              </w:rPr>
              <w:t>4</w:t>
            </w:r>
            <w:r w:rsidRPr="0056671C">
              <w:rPr>
                <w:b w:val="0"/>
                <w:sz w:val="20"/>
                <w:vertAlign w:val="superscript"/>
              </w:rPr>
              <w:t>th</w:t>
            </w:r>
          </w:p>
        </w:tc>
        <w:tc>
          <w:tcPr>
            <w:tcW w:w="1630" w:type="dxa"/>
          </w:tcPr>
          <w:p w:rsidR="00C72D7B" w:rsidRPr="00011A50" w:rsidRDefault="00C72D7B" w:rsidP="00011A50">
            <w:pPr>
              <w:pStyle w:val="LEUHeadingOne"/>
              <w:spacing w:after="0" w:line="240" w:lineRule="auto"/>
              <w:rPr>
                <w:b w:val="0"/>
                <w:sz w:val="20"/>
              </w:rPr>
            </w:pPr>
          </w:p>
        </w:tc>
      </w:tr>
    </w:tbl>
    <w:p w:rsidR="005A2B22" w:rsidRDefault="005A2B22"/>
    <w:sectPr w:rsidR="005A2B22" w:rsidSect="00C72D7B">
      <w:headerReference w:type="default" r:id="rId7"/>
      <w:footerReference w:type="default" r:id="rId8"/>
      <w:footerReference w:type="first" r:id="rId9"/>
      <w:pgSz w:w="16838" w:h="11906" w:orient="landscape" w:code="9"/>
      <w:pgMar w:top="567" w:right="2552" w:bottom="567"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A50" w:rsidRDefault="00011A50" w:rsidP="00011A50">
      <w:r>
        <w:separator/>
      </w:r>
    </w:p>
  </w:endnote>
  <w:endnote w:type="continuationSeparator" w:id="0">
    <w:p w:rsidR="00011A50" w:rsidRDefault="00011A50" w:rsidP="00011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E5A" w:rsidRPr="00011A50" w:rsidRDefault="00011A50" w:rsidP="006D2E5A">
    <w:pPr>
      <w:pStyle w:val="LEUNormal"/>
      <w:rPr>
        <w:sz w:val="18"/>
      </w:rPr>
    </w:pPr>
    <w:proofErr w:type="spellStart"/>
    <w:r w:rsidRPr="00011A50">
      <w:rPr>
        <w:sz w:val="18"/>
      </w:rPr>
      <w:t>AMcK</w:t>
    </w:r>
    <w:proofErr w:type="spellEnd"/>
    <w:r w:rsidRPr="00011A50">
      <w:rPr>
        <w:sz w:val="18"/>
      </w:rPr>
      <w:t>/Embedding/</w:t>
    </w:r>
    <w:r w:rsidRPr="00011A50">
      <w:rPr>
        <w:sz w:val="18"/>
      </w:rPr>
      <w:fldChar w:fldCharType="begin"/>
    </w:r>
    <w:r w:rsidRPr="00011A50">
      <w:rPr>
        <w:sz w:val="18"/>
      </w:rPr>
      <w:instrText xml:space="preserve"> FILENAME   \* MERGEFORMAT </w:instrText>
    </w:r>
    <w:r w:rsidRPr="00011A50">
      <w:rPr>
        <w:sz w:val="18"/>
      </w:rPr>
      <w:fldChar w:fldCharType="separate"/>
    </w:r>
    <w:r w:rsidRPr="00011A50">
      <w:rPr>
        <w:noProof/>
        <w:sz w:val="18"/>
      </w:rPr>
      <w:t>StrEmbed-4-Priorities.docx</w:t>
    </w:r>
    <w:r w:rsidRPr="00011A50">
      <w:rPr>
        <w:sz w:val="18"/>
      </w:rPr>
      <w:fldChar w:fldCharType="end"/>
    </w:r>
    <w:r>
      <w:rPr>
        <w:sz w:val="18"/>
      </w:rPr>
      <w:tab/>
    </w:r>
    <w:r>
      <w:rPr>
        <w:sz w:val="18"/>
      </w:rPr>
      <w:tab/>
    </w:r>
    <w:r w:rsidRPr="00011A50">
      <w:rPr>
        <w:sz w:val="18"/>
      </w:rPr>
      <w:fldChar w:fldCharType="begin"/>
    </w:r>
    <w:r w:rsidRPr="00011A50">
      <w:rPr>
        <w:sz w:val="18"/>
      </w:rPr>
      <w:instrText xml:space="preserve"> PAGE   \* MERGEFORMAT </w:instrText>
    </w:r>
    <w:r w:rsidRPr="00011A50">
      <w:rPr>
        <w:sz w:val="18"/>
      </w:rPr>
      <w:fldChar w:fldCharType="separate"/>
    </w:r>
    <w:r w:rsidR="00C72D7B">
      <w:rPr>
        <w:noProof/>
        <w:sz w:val="18"/>
      </w:rPr>
      <w:t>2</w:t>
    </w:r>
    <w:r w:rsidRPr="00011A50">
      <w:rPr>
        <w:noProof/>
        <w:sz w:val="18"/>
      </w:rPr>
      <w:fldChar w:fldCharType="end"/>
    </w:r>
    <w:r>
      <w:rPr>
        <w:noProof/>
        <w:sz w:val="18"/>
      </w:rPr>
      <w:tab/>
    </w:r>
    <w:r>
      <w:rPr>
        <w:noProof/>
        <w:sz w:val="18"/>
      </w:rPr>
      <w:tab/>
    </w:r>
    <w:r>
      <w:rPr>
        <w:noProof/>
        <w:sz w:val="18"/>
      </w:rPr>
      <w:tab/>
    </w:r>
    <w:r>
      <w:rPr>
        <w:noProof/>
        <w:sz w:val="18"/>
      </w:rPr>
      <w:tab/>
    </w:r>
    <w:r>
      <w:rPr>
        <w:noProof/>
        <w:sz w:val="18"/>
      </w:rPr>
      <w:tab/>
    </w:r>
    <w:r>
      <w:rPr>
        <w:noProof/>
        <w:sz w:val="18"/>
      </w:rPr>
      <w:fldChar w:fldCharType="begin"/>
    </w:r>
    <w:r>
      <w:rPr>
        <w:noProof/>
        <w:sz w:val="18"/>
      </w:rPr>
      <w:instrText xml:space="preserve"> DATE \@ "d-MMM-yy" </w:instrText>
    </w:r>
    <w:r>
      <w:rPr>
        <w:noProof/>
        <w:sz w:val="18"/>
      </w:rPr>
      <w:fldChar w:fldCharType="separate"/>
    </w:r>
    <w:r>
      <w:rPr>
        <w:noProof/>
        <w:sz w:val="18"/>
      </w:rPr>
      <w:t>14-Mar-17</w:t>
    </w:r>
    <w:r>
      <w:rPr>
        <w:noProo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D7B" w:rsidRPr="00C72D7B" w:rsidRDefault="00C72D7B" w:rsidP="00C72D7B">
    <w:pPr>
      <w:pStyle w:val="Footer"/>
      <w:tabs>
        <w:tab w:val="clear" w:pos="9026"/>
        <w:tab w:val="right" w:pos="12191"/>
      </w:tabs>
      <w:ind w:right="-1166"/>
      <w:rPr>
        <w:rFonts w:ascii="Arial" w:hAnsi="Arial" w:cs="Arial"/>
        <w:sz w:val="18"/>
      </w:rPr>
    </w:pPr>
    <w:proofErr w:type="spellStart"/>
    <w:r w:rsidRPr="00C72D7B">
      <w:rPr>
        <w:rFonts w:ascii="Arial" w:hAnsi="Arial" w:cs="Arial"/>
        <w:sz w:val="18"/>
      </w:rPr>
      <w:t>AMcK</w:t>
    </w:r>
    <w:proofErr w:type="spellEnd"/>
    <w:r w:rsidRPr="00C72D7B">
      <w:rPr>
        <w:rFonts w:ascii="Arial" w:hAnsi="Arial" w:cs="Arial"/>
        <w:sz w:val="18"/>
      </w:rPr>
      <w:t>/Embedding/</w:t>
    </w:r>
    <w:r w:rsidRPr="00C72D7B">
      <w:rPr>
        <w:rFonts w:ascii="Arial" w:hAnsi="Arial" w:cs="Arial"/>
        <w:sz w:val="18"/>
      </w:rPr>
      <w:fldChar w:fldCharType="begin"/>
    </w:r>
    <w:r w:rsidRPr="00C72D7B">
      <w:rPr>
        <w:rFonts w:ascii="Arial" w:hAnsi="Arial" w:cs="Arial"/>
        <w:sz w:val="18"/>
      </w:rPr>
      <w:instrText xml:space="preserve"> FILENAME   \* MERGEFORMAT </w:instrText>
    </w:r>
    <w:r w:rsidRPr="00C72D7B">
      <w:rPr>
        <w:rFonts w:ascii="Arial" w:hAnsi="Arial" w:cs="Arial"/>
        <w:sz w:val="18"/>
      </w:rPr>
      <w:fldChar w:fldCharType="separate"/>
    </w:r>
    <w:r w:rsidRPr="00C72D7B">
      <w:rPr>
        <w:rFonts w:ascii="Arial" w:hAnsi="Arial" w:cs="Arial"/>
        <w:noProof/>
        <w:sz w:val="18"/>
      </w:rPr>
      <w:t>StrEmbed-4-Priorities.docx</w:t>
    </w:r>
    <w:r w:rsidRPr="00C72D7B">
      <w:rPr>
        <w:rFonts w:ascii="Arial" w:hAnsi="Arial" w:cs="Arial"/>
        <w:sz w:val="18"/>
      </w:rPr>
      <w:fldChar w:fldCharType="end"/>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fldChar w:fldCharType="begin"/>
    </w:r>
    <w:r>
      <w:rPr>
        <w:rFonts w:ascii="Arial" w:hAnsi="Arial" w:cs="Arial"/>
        <w:sz w:val="18"/>
      </w:rPr>
      <w:instrText xml:space="preserve"> DATE \@ "d-MMM-yy" </w:instrText>
    </w:r>
    <w:r>
      <w:rPr>
        <w:rFonts w:ascii="Arial" w:hAnsi="Arial" w:cs="Arial"/>
        <w:sz w:val="18"/>
      </w:rPr>
      <w:fldChar w:fldCharType="separate"/>
    </w:r>
    <w:r>
      <w:rPr>
        <w:rFonts w:ascii="Arial" w:hAnsi="Arial" w:cs="Arial"/>
        <w:noProof/>
        <w:sz w:val="18"/>
      </w:rPr>
      <w:t>14-Mar-17</w:t>
    </w:r>
    <w:r>
      <w:rPr>
        <w:rFonts w:ascii="Arial" w:hAnsi="Arial" w:cs="Arial"/>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A50" w:rsidRDefault="00011A50" w:rsidP="00011A50">
      <w:r>
        <w:separator/>
      </w:r>
    </w:p>
  </w:footnote>
  <w:footnote w:type="continuationSeparator" w:id="0">
    <w:p w:rsidR="00011A50" w:rsidRDefault="00011A50" w:rsidP="00011A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E5A" w:rsidRDefault="0056671C" w:rsidP="006D2E5A">
    <w:pPr>
      <w:pStyle w:val="LEUNormal"/>
    </w:pPr>
    <w:r>
      <w:rPr>
        <w:noProof/>
        <w:lang w:eastAsia="en-GB"/>
      </w:rPr>
      <mc:AlternateContent>
        <mc:Choice Requires="wps">
          <w:drawing>
            <wp:anchor distT="0" distB="0" distL="114300" distR="114300" simplePos="0" relativeHeight="251660288" behindDoc="0" locked="1" layoutInCell="1" allowOverlap="1" wp14:anchorId="01CD4E96" wp14:editId="3C4C8205">
              <wp:simplePos x="0" y="0"/>
              <wp:positionH relativeFrom="page">
                <wp:posOffset>517525</wp:posOffset>
              </wp:positionH>
              <wp:positionV relativeFrom="page">
                <wp:posOffset>540385</wp:posOffset>
              </wp:positionV>
              <wp:extent cx="6236970" cy="310515"/>
              <wp:effectExtent l="3175"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6D2E5A">
                            <w:tc>
                              <w:tcPr>
                                <w:tcW w:w="9837" w:type="dxa"/>
                                <w:tcBorders>
                                  <w:bottom w:val="single" w:sz="4" w:space="0" w:color="auto"/>
                                </w:tcBorders>
                              </w:tcPr>
                              <w:p w:rsidR="006D2E5A" w:rsidRDefault="0056671C" w:rsidP="006D2E5A">
                                <w:pPr>
                                  <w:pStyle w:val="LEUHeaderOne"/>
                                </w:pPr>
                                <w:r>
                                  <w:fldChar w:fldCharType="begin"/>
                                </w:r>
                                <w:r>
                                  <w:instrText xml:space="preserve"> STYLEREF  LEU_FP_Title </w:instrText>
                                </w:r>
                                <w:r>
                                  <w:fldChar w:fldCharType="separate"/>
                                </w:r>
                                <w:r w:rsidR="00C72D7B">
                                  <w:rPr>
                                    <w:b w:val="0"/>
                                    <w:bCs/>
                                    <w:noProof/>
                                    <w:lang w:val="en-US"/>
                                  </w:rPr>
                                  <w:t>Error! Use the Home tab to apply LEU_FP_Title to the text that you want to appear here.</w:t>
                                </w:r>
                                <w:r>
                                  <w:rPr>
                                    <w:noProof/>
                                  </w:rPr>
                                  <w:fldChar w:fldCharType="end"/>
                                </w:r>
                              </w:p>
                            </w:tc>
                          </w:tr>
                          <w:tr w:rsidR="006D2E5A">
                            <w:tc>
                              <w:tcPr>
                                <w:tcW w:w="9837" w:type="dxa"/>
                                <w:tcBorders>
                                  <w:top w:val="single" w:sz="4" w:space="0" w:color="auto"/>
                                </w:tcBorders>
                              </w:tcPr>
                              <w:p w:rsidR="006D2E5A" w:rsidRDefault="0056671C" w:rsidP="006D2E5A">
                                <w:pPr>
                                  <w:pStyle w:val="LEUHeaderTwo"/>
                                </w:pPr>
                                <w:r>
                                  <w:fldChar w:fldCharType="begin"/>
                                </w:r>
                                <w:r>
                                  <w:instrText xml:space="preserve"> STYLEREF  LEU_FP_Subtitle </w:instrText>
                                </w:r>
                                <w:r>
                                  <w:fldChar w:fldCharType="separate"/>
                                </w:r>
                                <w:r w:rsidR="00C72D7B">
                                  <w:rPr>
                                    <w:b/>
                                    <w:bCs/>
                                    <w:noProof/>
                                    <w:lang w:val="en-US"/>
                                  </w:rPr>
                                  <w:t>Error! Use the Home tab to apply LEU_FP_Subtitle to the text that you want to appear here.</w:t>
                                </w:r>
                                <w:r>
                                  <w:rPr>
                                    <w:noProof/>
                                  </w:rPr>
                                  <w:fldChar w:fldCharType="end"/>
                                </w:r>
                              </w:p>
                            </w:tc>
                          </w:tr>
                        </w:tbl>
                        <w:p w:rsidR="006D2E5A" w:rsidRDefault="0056671C" w:rsidP="006D2E5A">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CD4E96" id="_x0000_t202" coordsize="21600,21600" o:spt="202" path="m,l,21600r21600,l21600,xe">
              <v:stroke joinstyle="miter"/>
              <v:path gradientshapeok="t" o:connecttype="rect"/>
            </v:shapetype>
            <v:shape id="Text Box 2" o:spid="_x0000_s1026" type="#_x0000_t202" style="position:absolute;margin-left:40.75pt;margin-top:42.55pt;width:491.1pt;height:2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6D2E5A">
                      <w:tc>
                        <w:tcPr>
                          <w:tcW w:w="9837" w:type="dxa"/>
                          <w:tcBorders>
                            <w:bottom w:val="single" w:sz="4" w:space="0" w:color="auto"/>
                          </w:tcBorders>
                        </w:tcPr>
                        <w:p w:rsidR="006D2E5A" w:rsidRDefault="0056671C" w:rsidP="006D2E5A">
                          <w:pPr>
                            <w:pStyle w:val="LEUHeaderOne"/>
                          </w:pPr>
                          <w:r>
                            <w:fldChar w:fldCharType="begin"/>
                          </w:r>
                          <w:r>
                            <w:instrText xml:space="preserve"> STYLEREF  LEU_FP_Title </w:instrText>
                          </w:r>
                          <w:r>
                            <w:fldChar w:fldCharType="separate"/>
                          </w:r>
                          <w:r w:rsidR="00C72D7B">
                            <w:rPr>
                              <w:b w:val="0"/>
                              <w:bCs/>
                              <w:noProof/>
                              <w:lang w:val="en-US"/>
                            </w:rPr>
                            <w:t>Error! Use the Home tab to apply LEU_FP_Title to the text that you want to appear here.</w:t>
                          </w:r>
                          <w:r>
                            <w:rPr>
                              <w:noProof/>
                            </w:rPr>
                            <w:fldChar w:fldCharType="end"/>
                          </w:r>
                        </w:p>
                      </w:tc>
                    </w:tr>
                    <w:tr w:rsidR="006D2E5A">
                      <w:tc>
                        <w:tcPr>
                          <w:tcW w:w="9837" w:type="dxa"/>
                          <w:tcBorders>
                            <w:top w:val="single" w:sz="4" w:space="0" w:color="auto"/>
                          </w:tcBorders>
                        </w:tcPr>
                        <w:p w:rsidR="006D2E5A" w:rsidRDefault="0056671C" w:rsidP="006D2E5A">
                          <w:pPr>
                            <w:pStyle w:val="LEUHeaderTwo"/>
                          </w:pPr>
                          <w:r>
                            <w:fldChar w:fldCharType="begin"/>
                          </w:r>
                          <w:r>
                            <w:instrText xml:space="preserve"> STYLEREF  LEU_FP_Subtitle </w:instrText>
                          </w:r>
                          <w:r>
                            <w:fldChar w:fldCharType="separate"/>
                          </w:r>
                          <w:r w:rsidR="00C72D7B">
                            <w:rPr>
                              <w:b/>
                              <w:bCs/>
                              <w:noProof/>
                              <w:lang w:val="en-US"/>
                            </w:rPr>
                            <w:t>Error! Use the Home tab to apply LEU_FP_Subtitle to the text that you want to appear here.</w:t>
                          </w:r>
                          <w:r>
                            <w:rPr>
                              <w:noProof/>
                            </w:rPr>
                            <w:fldChar w:fldCharType="end"/>
                          </w:r>
                        </w:p>
                      </w:tc>
                    </w:tr>
                  </w:tbl>
                  <w:p w:rsidR="006D2E5A" w:rsidRDefault="0056671C" w:rsidP="006D2E5A">
                    <w:pPr>
                      <w:pStyle w:val="LEUNormal"/>
                    </w:pPr>
                  </w:p>
                </w:txbxContent>
              </v:textbox>
              <w10:wrap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67EC0"/>
    <w:multiLevelType w:val="hybridMultilevel"/>
    <w:tmpl w:val="C40A4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F5A"/>
    <w:rsid w:val="00011A50"/>
    <w:rsid w:val="00431F5A"/>
    <w:rsid w:val="0056671C"/>
    <w:rsid w:val="005A2B22"/>
    <w:rsid w:val="00720E1B"/>
    <w:rsid w:val="00C72D7B"/>
    <w:rsid w:val="00E72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124047-303E-4218-A43C-8A0857F0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A5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011A50"/>
    <w:pPr>
      <w:spacing w:after="0" w:line="240" w:lineRule="auto"/>
    </w:pPr>
    <w:rPr>
      <w:rFonts w:ascii="Arial" w:eastAsia="Times New Roman" w:hAnsi="Arial" w:cs="Times New Roman"/>
      <w:sz w:val="24"/>
      <w:szCs w:val="24"/>
    </w:rPr>
  </w:style>
  <w:style w:type="paragraph" w:customStyle="1" w:styleId="LEUHeader">
    <w:name w:val="LEU_Header"/>
    <w:basedOn w:val="LEUNormal"/>
    <w:rsid w:val="00011A50"/>
    <w:pPr>
      <w:spacing w:after="4160" w:line="240" w:lineRule="exact"/>
    </w:pPr>
  </w:style>
  <w:style w:type="paragraph" w:customStyle="1" w:styleId="LEUHeaderOne">
    <w:name w:val="LEU_HeaderOne"/>
    <w:basedOn w:val="LEUNormal"/>
    <w:rsid w:val="00011A50"/>
    <w:pPr>
      <w:spacing w:line="200" w:lineRule="exact"/>
    </w:pPr>
    <w:rPr>
      <w:b/>
      <w:sz w:val="16"/>
    </w:rPr>
  </w:style>
  <w:style w:type="paragraph" w:customStyle="1" w:styleId="LEUHeaderTwo">
    <w:name w:val="LEU_HeaderTwo"/>
    <w:basedOn w:val="LEUNormal"/>
    <w:rsid w:val="00011A50"/>
    <w:pPr>
      <w:spacing w:before="40" w:line="200" w:lineRule="exact"/>
    </w:pPr>
    <w:rPr>
      <w:sz w:val="16"/>
    </w:rPr>
  </w:style>
  <w:style w:type="paragraph" w:customStyle="1" w:styleId="LEUPgNum">
    <w:name w:val="LEU_PgNum"/>
    <w:basedOn w:val="LEUNormal"/>
    <w:rsid w:val="00011A50"/>
    <w:pPr>
      <w:spacing w:line="200" w:lineRule="exact"/>
      <w:jc w:val="right"/>
    </w:pPr>
    <w:rPr>
      <w:sz w:val="16"/>
    </w:rPr>
  </w:style>
  <w:style w:type="paragraph" w:customStyle="1" w:styleId="LEUBodyText">
    <w:name w:val="LEU_Body Text"/>
    <w:basedOn w:val="LEUNormal"/>
    <w:link w:val="LEUBodyTextChar"/>
    <w:rsid w:val="00011A50"/>
    <w:pPr>
      <w:spacing w:after="120" w:line="240" w:lineRule="exact"/>
    </w:pPr>
    <w:rPr>
      <w:sz w:val="20"/>
    </w:rPr>
  </w:style>
  <w:style w:type="paragraph" w:customStyle="1" w:styleId="LEUHeadingOne">
    <w:name w:val="LEU_Heading One"/>
    <w:basedOn w:val="LEUNormal"/>
    <w:rsid w:val="00011A50"/>
    <w:pPr>
      <w:spacing w:after="120" w:line="280" w:lineRule="exact"/>
    </w:pPr>
    <w:rPr>
      <w:b/>
    </w:rPr>
  </w:style>
  <w:style w:type="paragraph" w:customStyle="1" w:styleId="LEUHeadingTwo">
    <w:name w:val="LEU_Heading Two"/>
    <w:basedOn w:val="LEUNormal"/>
    <w:rsid w:val="00011A50"/>
    <w:pPr>
      <w:spacing w:line="240" w:lineRule="exact"/>
    </w:pPr>
    <w:rPr>
      <w:b/>
      <w:sz w:val="20"/>
    </w:rPr>
  </w:style>
  <w:style w:type="paragraph" w:customStyle="1" w:styleId="EMcode">
    <w:name w:val="EM_code"/>
    <w:basedOn w:val="LEUBodyText"/>
    <w:link w:val="EMcodeChar"/>
    <w:qFormat/>
    <w:rsid w:val="00011A50"/>
    <w:pPr>
      <w:spacing w:after="0"/>
    </w:pPr>
    <w:rPr>
      <w:rFonts w:ascii="Courier New" w:hAnsi="Courier New"/>
      <w:sz w:val="18"/>
    </w:rPr>
  </w:style>
  <w:style w:type="character" w:customStyle="1" w:styleId="LEUNormalChar">
    <w:name w:val="LEU_Normal Char"/>
    <w:basedOn w:val="DefaultParagraphFont"/>
    <w:link w:val="LEUNormal"/>
    <w:rsid w:val="00011A50"/>
    <w:rPr>
      <w:rFonts w:ascii="Arial" w:eastAsia="Times New Roman" w:hAnsi="Arial" w:cs="Times New Roman"/>
      <w:sz w:val="24"/>
      <w:szCs w:val="24"/>
    </w:rPr>
  </w:style>
  <w:style w:type="character" w:customStyle="1" w:styleId="LEUBodyTextChar">
    <w:name w:val="LEU_Body Text Char"/>
    <w:basedOn w:val="LEUNormalChar"/>
    <w:link w:val="LEUBodyText"/>
    <w:rsid w:val="00011A50"/>
    <w:rPr>
      <w:rFonts w:ascii="Arial" w:eastAsia="Times New Roman" w:hAnsi="Arial" w:cs="Times New Roman"/>
      <w:sz w:val="20"/>
      <w:szCs w:val="24"/>
    </w:rPr>
  </w:style>
  <w:style w:type="character" w:customStyle="1" w:styleId="EMcodeChar">
    <w:name w:val="EM_code Char"/>
    <w:basedOn w:val="LEUBodyTextChar"/>
    <w:link w:val="EMcode"/>
    <w:rsid w:val="00011A50"/>
    <w:rPr>
      <w:rFonts w:ascii="Courier New" w:eastAsia="Times New Roman" w:hAnsi="Courier New" w:cs="Times New Roman"/>
      <w:sz w:val="18"/>
      <w:szCs w:val="24"/>
    </w:rPr>
  </w:style>
  <w:style w:type="table" w:styleId="TableGrid">
    <w:name w:val="Table Grid"/>
    <w:basedOn w:val="TableNormal"/>
    <w:uiPriority w:val="39"/>
    <w:rsid w:val="0001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1A50"/>
    <w:pPr>
      <w:tabs>
        <w:tab w:val="center" w:pos="4513"/>
        <w:tab w:val="right" w:pos="9026"/>
      </w:tabs>
    </w:pPr>
  </w:style>
  <w:style w:type="character" w:customStyle="1" w:styleId="HeaderChar">
    <w:name w:val="Header Char"/>
    <w:basedOn w:val="DefaultParagraphFont"/>
    <w:link w:val="Header"/>
    <w:uiPriority w:val="99"/>
    <w:rsid w:val="00011A5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11A50"/>
    <w:pPr>
      <w:tabs>
        <w:tab w:val="center" w:pos="4513"/>
        <w:tab w:val="right" w:pos="9026"/>
      </w:tabs>
    </w:pPr>
  </w:style>
  <w:style w:type="character" w:customStyle="1" w:styleId="FooterChar">
    <w:name w:val="Footer Char"/>
    <w:basedOn w:val="DefaultParagraphFont"/>
    <w:link w:val="Footer"/>
    <w:uiPriority w:val="99"/>
    <w:rsid w:val="00011A5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McKay</dc:creator>
  <cp:keywords/>
  <dc:description/>
  <cp:lastModifiedBy>Alison McKay</cp:lastModifiedBy>
  <cp:revision>3</cp:revision>
  <dcterms:created xsi:type="dcterms:W3CDTF">2017-03-14T10:51:00Z</dcterms:created>
  <dcterms:modified xsi:type="dcterms:W3CDTF">2017-03-14T11:12:00Z</dcterms:modified>
</cp:coreProperties>
</file>