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</w:rPr>
        <w:t>机器人数据集分析报告（lerobot/pusht）</w:t>
      </w:r>
    </w:p>
    <w:p>
      <w:pPr>
        <w:pStyle w:val="Heading1"/>
      </w:pPr>
      <w:r>
        <w:rPr>
          <w:rFonts w:ascii="Arial" w:hAnsi="Arial" w:eastAsia="Microsoft YaHei"/>
        </w:rPr>
        <w:t>§1 数据清点（模块 1）</w:t>
      </w:r>
    </w:p>
    <w:p>
      <w:pPr>
        <w:pStyle w:val="Heading2"/>
      </w:pPr>
      <w:r>
        <w:rPr>
          <w:rFonts w:ascii="Arial" w:hAnsi="Arial" w:eastAsia="Microsoft YaHei"/>
        </w:rPr>
        <w:t>抄录栏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数据集</w:t>
            </w:r>
          </w:p>
        </w:tc>
        <w:tc>
          <w:tcPr>
            <w:tcW w:type="dxa" w:w="4320"/>
          </w:tcPr>
          <w:p>
            <w:r>
              <w:t>lerobot/pusht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本体型号</w:t>
            </w:r>
          </w:p>
        </w:tc>
        <w:tc>
          <w:tcPr>
            <w:tcW w:type="dxa" w:w="4320"/>
          </w:tcPr>
          <w:p>
            <w:r>
              <w:t>unknown（PushT 为仿真平面推挤任务，无公开标准本体型号；state/action 为 512×512 像素平面坐标）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episode 条数</w:t>
            </w:r>
          </w:p>
        </w:tc>
        <w:tc>
          <w:tcPr>
            <w:tcW w:type="dxa" w:w="4320"/>
          </w:tcPr>
          <w:p>
            <w:r>
              <w:t>206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总帧数</w:t>
            </w:r>
          </w:p>
        </w:tc>
        <w:tc>
          <w:tcPr>
            <w:tcW w:type="dxa" w:w="4320"/>
          </w:tcPr>
          <w:p>
            <w:r>
              <w:t>25650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帧率（fps）</w:t>
            </w:r>
          </w:p>
        </w:tc>
        <w:tc>
          <w:tcPr>
            <w:tcW w:type="dxa" w:w="4320"/>
          </w:tcPr>
          <w:p>
            <w:r>
              <w:t>10.0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总时长（秒）</w:t>
            </w:r>
          </w:p>
        </w:tc>
        <w:tc>
          <w:tcPr>
            <w:tcW w:type="dxa" w:w="4320"/>
          </w:tcPr>
          <w:p>
            <w:r>
              <w:t>2565.0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总时长（分）</w:t>
            </w:r>
          </w:p>
        </w:tc>
        <w:tc>
          <w:tcPr>
            <w:tcW w:type="dxa" w:w="4320"/>
          </w:tcPr>
          <w:p>
            <w:r>
              <w:t>42.75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平均每条（秒）</w:t>
            </w:r>
          </w:p>
        </w:tc>
        <w:tc>
          <w:tcPr>
            <w:tcW w:type="dxa" w:w="4320"/>
          </w:tcPr>
          <w:p>
            <w:r>
              <w:t>12.45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状态维度</w:t>
            </w:r>
          </w:p>
        </w:tc>
        <w:tc>
          <w:tcPr>
            <w:tcW w:type="dxa" w:w="4320"/>
          </w:tcPr>
          <w:p>
            <w:r>
              <w:t>2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相机视角</w:t>
            </w:r>
          </w:p>
        </w:tc>
        <w:tc>
          <w:tcPr>
            <w:tcW w:type="dxa" w:w="4320"/>
          </w:tcPr>
          <w:p>
            <w:r>
              <w:t>1 个（俯视 observation.image，96×96）</w:t>
            </w:r>
            <w:r>
              <w:rPr>
                <w:rFonts w:ascii="Arial" w:hAnsi="Arial" w:eastAsia="Microsoft YaHei"/>
              </w:rPr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自填栏（定义与范围）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数字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</w:rPr>
              <w:t>读的是哪个字段 / 怎么算出来的</w:t>
            </w:r>
          </w:p>
        </w:tc>
      </w:tr>
      <w:tr>
        <w:tc>
          <w:tcPr>
            <w:tcW w:type="dxa" w:w="4320"/>
          </w:tcPr>
          <w:p>
            <w:r>
              <w:t>206 条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4320"/>
          </w:tcPr>
          <w:p>
            <w:r>
              <w:t>读 meta/info.json 的 total_episodes 字段（v3 布局为 parquet，无 episode_*.json）；等价于 meta/episodes/**/*.parquet 的行数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>
              <w:t>25650 帧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4320"/>
          </w:tcPr>
          <w:p>
            <w:r>
              <w:t>meta/info.json 的 total_frames 字段；等价于各 parquet 中 frame_index 计数之和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>
              <w:t>2565.0 秒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4320"/>
          </w:tcPr>
          <w:p>
            <w:r>
              <w:t>总帧数 ÷ fps = 25650 ÷ 10 = 2565.0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>
              <w:t>12.45 秒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4320"/>
          </w:tcPr>
          <w:p>
            <w:r>
              <w:t>总时长 ÷ episode 条数 = 2565.0 ÷ 206 = 12.451 ≈ 12.45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</w:rPr>
              <w:t>unknown</w:t>
            </w:r>
          </w:p>
        </w:tc>
        <w:tc>
          <w:tcPr>
            <w:tcW w:type="dxa" w:w="4320"/>
          </w:tcPr>
          <w:p>
            <w:r>
              <w:t>PushT 为仿真平面推挤任务，无公开标准商用本体型号（robot_type 字段缺失，实测为 unknown）</w:t>
            </w:r>
            <w:r>
              <w:rPr>
                <w:rFonts w:ascii="Arial" w:hAnsi="Arial" w:eastAsia="Microsoft YaHei"/>
              </w:rPr>
            </w:r>
          </w:p>
        </w:tc>
      </w:tr>
    </w:tbl>
    <w:p>
      <w:pPr>
        <w:pStyle w:val="Heading1"/>
      </w:pPr>
      <w:r>
        <w:rPr>
          <w:rFonts w:ascii="Arial" w:hAnsi="Arial" w:eastAsia="Microsoft YaHei"/>
        </w:rPr>
        <w:t>§2 异常筛查（模块 2）</w:t>
      </w:r>
    </w:p>
    <w:p>
      <w:pPr>
        <w:pStyle w:val="Heading2"/>
      </w:pPr>
      <w:r>
        <w:rPr>
          <w:rFonts w:ascii="Arial" w:hAnsi="Arial" w:eastAsia="Microsoft YaHei"/>
        </w:rPr>
        <w:t>判据表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判定</w:t>
            </w:r>
            <w:r>
              <w:rPr>
                <w:rFonts w:ascii="Arial" w:hAnsi="Arial" w:eastAsia="Microsoft YaHei"/>
                <w:b/>
              </w:rPr>
            </w:r>
          </w:p>
        </w:tc>
        <w:tc>
          <w:tcPr>
            <w:tcW w:type="dxa" w:w="2880"/>
          </w:tcPr>
          <w:p>
            <w:r>
              <w:t>含义（怎么分辨）</w:t>
            </w:r>
            <w:r>
              <w:rPr>
                <w:rFonts w:ascii="Arial" w:hAnsi="Arial" w:eastAsia="Microsoft YaHei"/>
                <w:b/>
              </w:rPr>
            </w:r>
          </w:p>
        </w:tc>
        <w:tc>
          <w:tcPr>
            <w:tcW w:type="dxa" w:w="2880"/>
          </w:tcPr>
          <w:p>
            <w:r>
              <w:t>阈值</w:t>
            </w:r>
            <w:r>
              <w:rPr>
                <w:rFonts w:ascii="Arial" w:hAnsi="Arial" w:eastAsia="Microsoft YaHei"/>
                <w:b/>
              </w:rPr>
            </w:r>
          </w:p>
        </w:tc>
      </w:tr>
      <w:tr>
        <w:tc>
          <w:tcPr>
            <w:tcW w:type="dxa" w:w="2880"/>
          </w:tcPr>
          <w:p>
            <w:r>
              <w:t>可以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推到位、覆盖率达标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终点覆盖率 ≥ 0.90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2880"/>
          </w:tcPr>
          <w:p>
            <w:r>
              <w:t>存疑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推了大半、未完全对位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0.85 ≤ 终点覆盖率 &lt; 0.90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2880"/>
          </w:tcPr>
          <w:p>
            <w:r>
              <w:t>不行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明显没对位、覆盖率过低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终点覆盖率 &lt; 0.85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2880"/>
          </w:tcPr>
          <w:p>
            <w:r>
              <w:t>辅助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时长仅作提示、不单独归档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2880"/>
          </w:tcPr>
          <w:p>
            <w:r>
              <w:t>&lt; 6 秒（60 帧）或 &gt; 20 秒（200 帧）</w:t>
            </w:r>
            <w:r>
              <w:rPr>
                <w:rFonts w:ascii="Arial" w:hAnsi="Arial" w:eastAsia="Microsoft YaHei"/>
              </w:rPr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自填栏：判据为什么这么定？</w:t>
      </w:r>
    </w:p>
    <w:p>
      <w:pPr>
        <w:pStyle w:val="ListBullet"/>
      </w:pPr>
      <w:r>
        <w:rPr>
          <w:rFonts w:ascii="Arial" w:hAnsi="Arial" w:eastAsia="Microsoft YaHei"/>
        </w:rPr>
        <w:t>三类如何分辨：只看“终点覆盖率”（= 每条末帧 next.reward，实测取值 0.813~0.949）。≥ 0.90 判“可以”、0.85~0.90 判“存疑”、&lt; 0.85 判“不行”；覆盖率即 T 形方块与目标的重合度，直接对应“有没有推到位”。</w:t>
      </w:r>
    </w:p>
    <w:p>
      <w:pPr>
        <w:pStyle w:val="ListBullet"/>
      </w:pPr>
      <w:r>
        <w:rPr>
          <w:rFonts w:ascii="Arial" w:hAnsi="Arial" w:eastAsia="Microsoft YaHei"/>
        </w:rPr>
        <w:t>为什么不用 droid 的“时长/移动量”判据：实测最短 episode 也有 49 帧（4.9 秒）、最小移动量 467.6 px，套用后命中 0 条；更关键的是“不行”类的移动量中位 1614.3 反而大于“可以”类中位 1427.4，移动量在本数据集上根本不能区分好坏，故弃用。</w:t>
      </w:r>
    </w:p>
    <w:p>
      <w:pPr>
        <w:pStyle w:val="ListBullet"/>
      </w:pPr>
      <w:r>
        <w:rPr>
          <w:rFonts w:ascii="Arial" w:hAnsi="Arial" w:eastAsia="Microsoft YaHei"/>
        </w:rPr>
        <w:t>0.90 / 0.85 两条线是本组自定，不是官方定义（覆盖率是连续量）：取这两个值是为了让三类规模均衡（90 / 100 / 16 条）。结论对该阈值敏感——ep184(0.871)、ep123(0.885) 距 0.85 仅 0.02~0.04，ep182(0.895) 距 0.90 也仅 0.005，边界样本归类不稳，故“存疑”只作待核、不直接判死。</w:t>
      </w:r>
    </w:p>
    <w:p>
      <w:pPr>
        <w:pStyle w:val="ListBullet"/>
      </w:pPr>
      <w:r>
        <w:rPr>
          <w:rFonts w:ascii="Arial" w:hAnsi="Arial" w:eastAsia="Microsoft YaHei"/>
        </w:rPr>
        <w:t>时长只作辅助提示（不单独归档）：&lt; 6 秒 2 条、&gt; 20 秒 5 条；pusht 无停顿帧（最大停顿占比 7.4%），停顿判据不适用。</w:t>
      </w:r>
    </w:p>
    <w:p>
      <w:pPr>
        <w:pStyle w:val="Heading2"/>
      </w:pPr>
      <w:r>
        <w:rPr>
          <w:rFonts w:ascii="Arial" w:hAnsi="Arial" w:eastAsia="Microsoft YaHei"/>
        </w:rPr>
        <w:t>三条问题 episode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episode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帧数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时长（秒）</w:t>
            </w:r>
          </w:p>
        </w:tc>
        <w:tc>
          <w:tcPr>
            <w:tcW w:type="dxa" w:w="1440"/>
          </w:tcPr>
          <w:p>
            <w:r>
              <w:t>终点覆盖率</w:t>
            </w:r>
            <w:r>
              <w:rPr>
                <w:rFonts w:ascii="Arial" w:hAnsi="Arial" w:eastAsia="Microsoft YaHei"/>
                <w:b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crosoft YaHei"/>
                <w:b/>
              </w:rPr>
              <w:t>坏在哪儿</w:t>
            </w:r>
          </w:p>
        </w:tc>
      </w:tr>
      <w:tr>
        <w:tc>
          <w:tcPr>
            <w:tcW w:type="dxa" w:w="1440"/>
          </w:tcPr>
          <w:p>
            <w:r>
              <w:t>1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153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97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9.7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0.813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不行（覆盖率最低档）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440"/>
          </w:tcPr>
          <w:p>
            <w:r>
              <w:t>2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95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107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10.7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0.813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不行（覆盖率并列最低）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440"/>
          </w:tcPr>
          <w:p>
            <w:r>
              <w:t>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184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229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22.9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0.871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440"/>
          </w:tcPr>
          <w:p>
            <w:r>
              <w:t>存疑（偏长且覆盖率偏低）</w:t>
            </w:r>
            <w:r>
              <w:rPr>
                <w:rFonts w:ascii="Arial" w:hAnsi="Arial" w:eastAsia="Microsoft YaHei"/>
              </w:rPr>
            </w:r>
          </w:p>
        </w:tc>
      </w:tr>
    </w:tbl>
    <w:p>
      <w:pPr>
        <w:pStyle w:val="Heading2"/>
      </w:pPr>
      <w:r>
        <w:rPr>
          <w:rFonts w:ascii="Arial" w:hAnsi="Arial" w:eastAsia="Microsoft YaHei"/>
        </w:rPr>
        <w:t>自填栏：挑一条，写清「坏在哪儿」</w:t>
      </w:r>
    </w:p>
    <w:p>
      <w:r>
        <w:rPr>
          <w:rFonts w:ascii="Arial" w:hAnsi="Arial" w:eastAsia="Microsoft YaHei"/>
          <w:b w:val="0"/>
        </w:rPr>
        <w:t>episode 153：第 0–9.7 秒，全程 97 帧，终点覆盖率 0.813，为全库最低档（不行类 16 条的覆盖率为 0.813~0.848，类内中位 0.835）。覆盖率取自 next.reward 实测，本报告未做图像位姿核验，因此只记为“完成度低”，不推断方块的具体摆放。</w:t>
      </w:r>
    </w:p>
    <w:p>
      <w:r>
        <w:rPr>
          <w:rFonts w:ascii="Arial" w:hAnsi="Arial" w:eastAsia="Microsoft YaHei"/>
          <w:b w:val="0"/>
        </w:rPr>
        <w:t>指标取值 终点覆盖率 0.813（阈值 0.85）。判断：☑ 不能用  □ 能用</w:t>
      </w:r>
    </w:p>
    <w:p>
      <w:r>
        <w:rPr>
          <w:rFonts w:ascii="Arial" w:hAnsi="Arial" w:eastAsia="Microsoft YaHei"/>
          <w:b w:val="0"/>
        </w:rPr>
        <w:t>说明：episode 153 终点覆盖率低于 0.85 的不行阈值，完成度低；作为“成功示范”不宜使用，若作负样本或降权数据可谨慎保留（其轨迹连续、时长正常，并非坏帧）。</w:t>
      </w:r>
    </w:p>
    <w:p>
      <w:r>
        <w:rPr>
          <w:rFonts w:ascii="Arial" w:hAnsi="Arial" w:eastAsia="Microsoft YaHei"/>
        </w:rPr>
        <w:t>对全部 206 条按上述判据打标：可以 90 条、存疑 100 条、不行 16 条。各类各取 2 条示例：</w:t>
      </w:r>
    </w:p>
    <w:p>
      <w:pPr>
        <w:pStyle w:val="Heading2"/>
      </w:pPr>
      <w:r>
        <w:rPr>
          <w:rFonts w:ascii="Arial" w:hAnsi="Arial" w:eastAsia="Microsoft YaHei"/>
        </w:rPr>
        <w:t>三类判定示例（可以 / 存疑 / 不行 各 2 条，取各类覆盖率中位附近的代表样本）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判定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episode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帧数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时长（秒）</w:t>
            </w:r>
          </w:p>
        </w:tc>
        <w:tc>
          <w:tcPr>
            <w:tcW w:type="dxa" w:w="1234"/>
          </w:tcPr>
          <w:p>
            <w:r>
              <w:t>终点覆盖率</w:t>
            </w:r>
            <w:r>
              <w:rPr>
                <w:rFonts w:ascii="Arial" w:hAnsi="Arial" w:eastAsia="Microsoft YaHei"/>
                <w:b/>
              </w:rPr>
            </w:r>
          </w:p>
        </w:tc>
        <w:tc>
          <w:tcPr>
            <w:tcW w:type="dxa" w:w="1234"/>
          </w:tcPr>
          <w:p>
            <w:r>
              <w:t>停顿占比</w:t>
            </w:r>
            <w:r>
              <w:rPr>
                <w:rFonts w:ascii="Arial" w:hAnsi="Arial" w:eastAsia="Microsoft YaHei"/>
                <w:b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Microsoft YaHei"/>
                <w:b/>
              </w:rPr>
              <w:t>依据</w:t>
            </w:r>
          </w:p>
        </w:tc>
      </w:tr>
      <w:tr>
        <w:tc>
          <w:tcPr>
            <w:tcW w:type="dxa" w:w="1234"/>
          </w:tcPr>
          <w:p>
            <w:r>
              <w:t>可以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33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120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12.0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0.911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覆盖率 0.911 = 可以类中位（90 条，0.900~0.949），该类典型样本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234"/>
          </w:tcPr>
          <w:p>
            <w:r>
              <w:t>可以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160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14.7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0.911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同为类内中位样本，常规长度、无停顿帧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234"/>
          </w:tcPr>
          <w:p>
            <w:r>
              <w:t>存疑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90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109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10.9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0.885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覆盖率 0.885 = 存疑类中位（100 条，0.85~0.90），部分对齐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234"/>
          </w:tcPr>
          <w:p>
            <w:r>
              <w:t>存疑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178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148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14.8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0.885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同上；时长与全库中位相当，非“偏长”而是完成度差一口气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234"/>
          </w:tcPr>
          <w:p>
            <w:r>
              <w:t>不行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45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152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15.2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0.832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0.01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覆盖率 0.832 ≈ 不行类中位 0.835（16 条，0.813~0.848），未达标</w:t>
            </w:r>
            <w:r>
              <w:rPr>
                <w:rFonts w:ascii="Arial" w:hAnsi="Arial" w:eastAsia="Microsoft YaHei"/>
              </w:rPr>
            </w:r>
          </w:p>
        </w:tc>
      </w:tr>
      <w:tr>
        <w:tc>
          <w:tcPr>
            <w:tcW w:type="dxa" w:w="1234"/>
          </w:tcPr>
          <w:p>
            <w:r>
              <w:t>不行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113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14.9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0.838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0.00</w:t>
            </w:r>
            <w:r>
              <w:rPr>
                <w:rFonts w:ascii="Arial" w:hAnsi="Arial" w:eastAsia="Microsoft YaHei"/>
              </w:rPr>
            </w:r>
          </w:p>
        </w:tc>
        <w:tc>
          <w:tcPr>
            <w:tcW w:type="dxa" w:w="1234"/>
          </w:tcPr>
          <w:p>
            <w:r>
              <w:t>同上；轨迹连续、时长正常，作成功示范不宜、可作负样本</w:t>
            </w:r>
            <w:r>
              <w:rPr>
                <w:rFonts w:ascii="Arial" w:hAnsi="Arial" w:eastAsia="Microsoft YaHei"/>
              </w:rPr>
            </w:r>
          </w:p>
        </w:tc>
      </w:tr>
    </w:tbl>
    <w:p>
      <w:r>
        <w:rPr>
          <w:rFonts w:ascii="Arial" w:hAnsi="Arial" w:eastAsia="Microsoft YaHei"/>
          <w:b/>
          <w:sz w:val="20"/>
        </w:rPr>
        <w:t>图 4　三类样本的 state（实线）/ action（虚线）2 维时序 + 覆盖率（可以 / 存疑 / 不行 各 2 条，本地实测）</w:t>
      </w:r>
    </w:p>
    <w:p>
      <w:r>
        <w:drawing>
          <wp:inline xmlns:a="http://schemas.openxmlformats.org/drawingml/2006/main" xmlns:pic="http://schemas.openxmlformats.org/drawingml/2006/picture">
            <wp:extent cx="5669280" cy="4797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x_episodes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sz w:val="18"/>
        </w:rPr>
        <w:t>注：位置x / 位置y 各用一色，实线为实际状态、虚线为目标指令；右轴灰点线为该帧的任务覆盖率。state 与 action 同为像素坐标（0–512），action 为整数像素。</w:t>
      </w:r>
    </w:p>
    <w:p>
      <w:r>
        <w:rPr>
          <w:rFonts w:ascii="Arial" w:hAnsi="Arial" w:eastAsia="Microsoft YaHei"/>
          <w:b/>
        </w:rPr>
        <w:t>曲线分析：</w:t>
      </w:r>
    </w:p>
    <w:p>
      <w:pPr>
        <w:pStyle w:val="ListBullet"/>
      </w:pPr>
      <w:r>
        <w:rPr>
          <w:rFonts w:ascii="Arial" w:hAnsi="Arial" w:eastAsia="Microsoft YaHei"/>
        </w:rPr>
        <w:t>可以（ep33 / ep160）：覆盖率均为 0.911，正是“可以”类（≥0.90）的类内中位（该类 90 条，0.900~0.949），各代表该类典型一条；时长 12.0 / 14.7 秒属常规、无停顿帧，2 维曲线平滑推进，可直接用于模仿学习。注：覆盖率最高的 ep32 / ep124（0.949 / 0.948）是类内极值、不具代表性，已单独用于 §3 曲线解读，此处不重复举例。</w:t>
      </w:r>
    </w:p>
    <w:p>
      <w:pPr>
        <w:pStyle w:val="ListBullet"/>
      </w:pPr>
      <w:r>
        <w:rPr>
          <w:rFonts w:ascii="Arial" w:hAnsi="Arial" w:eastAsia="Microsoft YaHei"/>
        </w:rPr>
        <w:t>不行（ep45 / ep113）：覆盖率 0.832 / 0.838，低于 0.85 阈值、接近该类中位 0.835（不行类 16 条，0.813~0.848）。覆盖率即方块与目标的重合度，0.83 量级意味着仍有约 1/6 区域未重合、按本组阈值判为未达标；但两条时长 15.2 / 14.9 秒、与全库中位相当，轨迹连续、并非坏帧——作“成功示范”不宜，作负样本或降权样本可保留。</w:t>
      </w:r>
    </w:p>
    <w:p>
      <w:pPr>
        <w:pStyle w:val="ListBullet"/>
      </w:pPr>
      <w:r>
        <w:rPr>
          <w:rFonts w:ascii="Arial" w:hAnsi="Arial" w:eastAsia="Microsoft YaHei"/>
        </w:rPr>
        <w:t>存疑（ep90 / ep178）：覆盖率均为 0.885，落在 0.85~0.90 存疑带的中部，即“推了大半、但没完全对位”；两条时长 10.9 / 14.8 秒也与全库中位相当，说明该类的问题是“完成度差一口气”，而非时长异常，是否保留取决于课程对完成度的要求。</w:t>
      </w:r>
    </w:p>
    <w:p>
      <w:r>
        <w:rPr>
          <w:rFonts w:ascii="Arial" w:hAnsi="Arial" w:eastAsia="Microsoft YaHei"/>
          <w:b/>
        </w:rPr>
        <w:t>结论：可以类（90 条，覆盖率 ≥0.90）可直接用；不行类（16 条，&lt;0.85）不宜作成功示范、可留作负样本；存疑类（100 条，0.85~0.90）完成度差一口气，按需筛选后再用。</w:t>
      </w:r>
    </w:p>
    <w:p>
      <w:pPr>
        <w:pStyle w:val="Heading1"/>
      </w:pPr>
      <w:r>
        <w:rPr>
          <w:rFonts w:ascii="Arial" w:hAnsi="Arial" w:eastAsia="Microsoft YaHei"/>
        </w:rPr>
        <w:t>§3 曲线解读（模块 3，选定 episode：32，148 帧，14.8 秒）</w:t>
      </w:r>
    </w:p>
    <w:p>
      <w:r>
        <w:rPr>
          <w:rFonts w:ascii="Arial" w:hAnsi="Arial" w:eastAsia="Microsoft YaHei"/>
          <w:b w:val="0"/>
        </w:rPr>
        <w:t>（时间轴 0～14.8 s）</w:t>
      </w:r>
    </w:p>
    <w:p>
      <w:r>
        <w:rPr>
          <w:rFonts w:ascii="Arial" w:hAnsi="Arial" w:eastAsia="Microsoft YaHei"/>
          <w:b w:val="0"/>
        </w:rPr>
        <w:t>现象：0–14.8 s，state（推子位置）2 维平滑推进；action（目标指令）紧随但始终领先一截（帧内 |action−state| 均值 29.5 px）；覆盖率 next.reward 从 0.000 单调升到 0.949，同段 corr(时间, 覆盖率) = 0.909；但全库看 corr(覆盖率, state) 仅 −0.109 / −0.005。</w:t>
      </w:r>
    </w:p>
    <w:p>
      <w:r>
        <w:rPr>
          <w:rFonts w:ascii="Arial" w:hAnsi="Arial" w:eastAsia="Microsoft YaHei"/>
          <w:b w:val="0"/>
        </w:rPr>
        <w:t>猜测：observation.state 记录的是推子（agent）自身位置，而非决定成败的 T 形方块位姿；任务进度由方块与目标的重合度决定，故覆盖率随时间上升、却与推子位置无关。</w:t>
      </w:r>
    </w:p>
    <w:p>
      <w:r>
        <w:rPr>
          <w:rFonts w:ascii="Arial" w:hAnsi="Arial" w:eastAsia="Microsoft YaHei"/>
          <w:b w:val="0"/>
        </w:rPr>
        <w:t>验证办法：</w:t>
      </w:r>
    </w:p>
    <w:p>
      <w:pPr>
        <w:pStyle w:val="ListBullet"/>
      </w:pPr>
      <w:r>
        <w:rPr>
          <w:rFonts w:ascii="Arial" w:hAnsi="Arial" w:eastAsia="Microsoft YaHei"/>
        </w:rPr>
        <w:t>在全库层面计算 next.reward 与 state 两维的皮尔逊相关系数；</w:t>
      </w:r>
    </w:p>
    <w:p>
      <w:pPr>
        <w:pStyle w:val="ListBullet"/>
      </w:pPr>
      <w:r>
        <w:rPr>
          <w:rFonts w:ascii="Arial" w:hAnsi="Arial" w:eastAsia="Microsoft YaHei"/>
        </w:rPr>
        <w:t>把 state 平面切成 20×20 网格，检查同一格内 reward 是否稳定（若 state 是方块位姿，reward 应是 state 的函数）；</w:t>
      </w:r>
    </w:p>
    <w:p>
      <w:pPr>
        <w:pStyle w:val="ListBullet"/>
      </w:pPr>
      <w:r>
        <w:rPr>
          <w:rFonts w:ascii="Arial" w:hAnsi="Arial" w:eastAsia="Microsoft YaHei"/>
        </w:rPr>
        <w:t>计算同一 episode 内时间与覆盖率的相关，以及 action[t] 与 state[t+1] 的相关。</w:t>
      </w:r>
    </w:p>
    <w:p>
      <w:r>
        <w:rPr>
          <w:rFonts w:ascii="Arial" w:hAnsi="Arial" w:eastAsia="Microsoft YaHei"/>
          <w:b w:val="0"/>
        </w:rPr>
        <w:t>验证结果（脚本实测）：corr(reward, state_x) = −0.109、corr(reward, state_y) = −0.005（近 0）；state 平面 20×20 分格，格内 reward 标准差均值 0.129，而全局 0.278，reward 不是 state 的函数；同段 corr(时间, 覆盖率) = 0.909（全库均值 0.802）；corr(action[t], state[t+1]) = 0.986 / 0.985，action 确为“领先一步的目标位置”。</w:t>
      </w:r>
    </w:p>
    <w:p>
      <w:r>
        <w:rPr>
          <w:rFonts w:ascii="Arial" w:hAnsi="Arial" w:eastAsia="Microsoft YaHei"/>
          <w:b w:val="0"/>
        </w:rPr>
        <w:t>判断：□ 能用  ☑ 不能用  □ 不确定</w:t>
      </w:r>
    </w:p>
    <w:p>
      <w:r>
        <w:rPr>
          <w:rFonts w:ascii="Arial" w:hAnsi="Arial" w:eastAsia="Microsoft YaHei"/>
          <w:b w:val="0"/>
        </w:rPr>
        <w:t>理由：state 只含推子位置、不含方块位姿，覆盖率与 state 近乎无关，说明仅凭 state 无法判断任务是否完成，观测不完整；训练与评估都必须以 observation.image 为主，state-only 基线不可用。</w:t>
      </w:r>
    </w:p>
    <w:p>
      <w:r>
        <w:rPr>
          <w:rFonts w:ascii="Arial" w:hAnsi="Arial" w:eastAsia="Microsoft YaHei"/>
          <w:b/>
          <w:sz w:val="20"/>
        </w:rPr>
        <w:t>图 1　episode 32 的 state / action 2 维时序（上）与覆盖率、推子轨迹（下）</w:t>
      </w:r>
    </w:p>
    <w:p>
      <w:r>
        <w:drawing>
          <wp:inline xmlns:a="http://schemas.openxmlformats.org/drawingml/2006/main" xmlns:pic="http://schemas.openxmlformats.org/drawingml/2006/picture">
            <wp:extent cx="5669280" cy="4638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77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38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Microsoft YaHei"/>
        </w:rPr>
        <w:t>§4 总体判断（模块 4）</w:t>
      </w:r>
    </w:p>
    <w:p>
      <w:r>
        <w:rPr>
          <w:rFonts w:ascii="Arial" w:hAnsi="Arial" w:eastAsia="Microsoft YaHei"/>
          <w:b/>
        </w:rPr>
        <w:t>结论（三选一）：☑ 有条件地能  □ 能  □ 不能</w:t>
      </w:r>
    </w:p>
    <w:p>
      <w:r>
        <w:rPr>
          <w:rFonts w:ascii="Arial" w:hAnsi="Arial" w:eastAsia="Microsoft YaHei"/>
          <w:b w:val="0"/>
        </w:rPr>
        <w:t>理由（三句，每句引用前面模块证据）：</w:t>
      </w:r>
    </w:p>
    <w:p>
      <w:pPr>
        <w:pStyle w:val="ListBullet"/>
      </w:pPr>
      <w:r>
        <w:rPr>
          <w:rFonts w:ascii="Arial" w:hAnsi="Arial" w:eastAsia="Microsoft YaHei"/>
        </w:rPr>
        <w:t>模块 1：数据集含 206 条 episode、单路 96×96 相机与 2 维状态/动作，规模与格式满足模仿学习训练条件。</w:t>
      </w:r>
    </w:p>
    <w:p>
      <w:pPr>
        <w:pStyle w:val="ListBullet"/>
      </w:pPr>
      <w:r>
        <w:rPr>
          <w:rFonts w:ascii="Arial" w:hAnsi="Arial" w:eastAsia="Microsoft YaHei"/>
        </w:rPr>
        <w:t>模块 2：长度/移动量/停顿判据下无硬伤，但按完成度分层得 16 条“不行”、100 条“存疑”，需剔除或筛选，且 next.success 全为 False 不可用。</w:t>
      </w:r>
    </w:p>
    <w:p>
      <w:pPr>
        <w:pStyle w:val="ListBullet"/>
      </w:pPr>
      <w:r>
        <w:rPr>
          <w:rFonts w:ascii="Arial" w:hAnsi="Arial" w:eastAsia="Microsoft YaHei"/>
        </w:rPr>
        <w:t>模块 3：state 不含方块位姿、与奖励近乎无关，必须依赖图像，action 还带 1 px 量化误差。</w:t>
      </w:r>
    </w:p>
    <w:p>
      <w:r>
        <w:rPr>
          <w:rFonts w:ascii="Arial" w:hAnsi="Arial" w:eastAsia="Microsoft YaHei"/>
          <w:b w:val="0"/>
        </w:rPr>
        <w:t>解读：「有条件地能」= 原始数据集不能直接拿来训练；需按完成度剔除/筛选坏样本、以图像为主观测、并处理动作 1 px 量化误差之后，才可使用。</w:t>
      </w:r>
    </w:p>
    <w:p>
      <w:pPr>
        <w:pStyle w:val="Heading1"/>
      </w:pPr>
      <w:r>
        <w:rPr>
          <w:rFonts w:ascii="Arial" w:hAnsi="Arial" w:eastAsia="Microsoft YaHei"/>
        </w:rPr>
        <w:t>附录：数据曲线与 HF 页面自带图</w:t>
      </w:r>
    </w:p>
    <w:p>
      <w:r>
        <w:rPr>
          <w:rFonts w:ascii="Arial" w:hAnsi="Arial" w:eastAsia="Microsoft YaHei"/>
          <w:b/>
          <w:sz w:val="20"/>
        </w:rPr>
        <w:t>图 2　pusht 数据曲线总览（本地全量 parquet 实测，plot_data.py）</w:t>
      </w:r>
    </w:p>
    <w:p>
      <w:r>
        <w:drawing>
          <wp:inline xmlns:a="http://schemas.openxmlformats.org/drawingml/2006/main" xmlns:pic="http://schemas.openxmlformats.org/drawingml/2006/picture">
            <wp:extent cx="5669280" cy="4859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id_100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/>
          <w:sz w:val="20"/>
        </w:rPr>
        <w:t>图 3　HF 数据集页 Data Studio 自带直方图（episode_index / frame_index / timestamp / next.reward 四个数值列）</w:t>
      </w:r>
    </w:p>
    <w:p>
      <w:r>
        <w:drawing>
          <wp:inline xmlns:a="http://schemas.openxmlformats.org/drawingml/2006/main" xmlns:pic="http://schemas.openxmlformats.org/drawingml/2006/picture">
            <wp:extent cx="5669280" cy="2979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_viewer_droid_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 w:eastAsia="Microsoft YaHei"/>
        </w:rPr>
        <w:t>交之前自查</w:t>
      </w:r>
    </w:p>
    <w:p>
      <w:pPr>
        <w:pStyle w:val="ListBullet"/>
      </w:pPr>
      <w:r>
        <w:rPr>
          <w:rFonts w:ascii="Arial" w:hAnsi="Arial" w:eastAsia="Microsoft YaHei"/>
        </w:rPr>
        <w:t>☑ 每个数字都注明了定义与范围</w:t>
      </w:r>
    </w:p>
    <w:p>
      <w:pPr>
        <w:pStyle w:val="ListBullet"/>
      </w:pPr>
      <w:r>
        <w:rPr>
          <w:rFonts w:ascii="Arial" w:hAnsi="Arial" w:eastAsia="Microsoft YaHei"/>
        </w:rPr>
        <w:t>☑ 问题条写了位置（第几秒）</w:t>
      </w:r>
    </w:p>
    <w:p>
      <w:pPr>
        <w:pStyle w:val="ListBullet"/>
      </w:pPr>
      <w:r>
        <w:rPr>
          <w:rFonts w:ascii="Arial" w:hAnsi="Arial" w:eastAsia="Microsoft YaHei"/>
        </w:rPr>
        <w:t>☑ 曲线解读有「判断」那一段</w:t>
      </w:r>
    </w:p>
    <w:p>
      <w:pPr>
        <w:pStyle w:val="ListBullet"/>
      </w:pPr>
      <w:r>
        <w:rPr>
          <w:rFonts w:ascii="Arial" w:hAnsi="Arial" w:eastAsia="Microsoft YaHei"/>
        </w:rPr>
        <w:t>☑ 模块 4 明确选了三选一</w:t>
      </w:r>
    </w:p>
    <w:p>
      <w:pPr>
        <w:pStyle w:val="ListBullet"/>
      </w:pPr>
      <w:r>
        <w:rPr>
          <w:rFonts w:ascii="Arial" w:hAnsi="Arial" w:eastAsia="Microsoft YaHei"/>
        </w:rPr>
        <w:t>☑ 指导蓝框已删净</w:t>
      </w:r>
    </w:p>
    <w:p>
      <w:pPr>
        <w:pStyle w:val="ListBullet"/>
      </w:pPr>
      <w:r>
        <w:rPr>
          <w:rFonts w:ascii="Arial" w:hAnsi="Arial" w:eastAsia="Microsoft YaHei"/>
        </w:rPr>
        <w:t>□ 分工表每行都有具体产出、合计 100%（提交前补）</w:t>
      </w:r>
    </w:p>
    <w:p>
      <w:r>
        <w:rPr>
          <w:rFonts w:ascii="Arial" w:hAnsi="Arial" w:eastAsia="Microsoft YaHei"/>
          <w:b/>
        </w:rPr>
        <w:t>本组拟定的数据集 ID：lerobot/pusht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