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Palatino Linotype" w:cs="Palatino Linotype" w:eastAsia="Palatino Linotype" w:hAnsi="Palatino Linotype"/>
          <w:b/>
          <w:bCs/>
          <w:sz w:val="24"/>
          <w:szCs w:val="24"/>
        </w:rPr>
        <w:t xml:space="preserve">AO JUÍZO DO JUIZADO ESPECIAL CÍVEL DA COMARCA DO RIO DE JANEIRO/RJ. </w:t>
      </w:r>
      <w:r>
        <w:rPr>
          <w:rFonts w:ascii="Palatino Linotype" w:cs="Palatino Linotype" w:eastAsia="Palatino Linotype" w:hAnsi="Palatino Linotype"/>
          <w:b/>
          <w:bCs/>
          <w:sz w:val="24"/>
          <w:szCs w:val="24"/>
          <w:shd w:fill="F1F000" w:color="auto" w:val="clear"/>
        </w:rPr>
        <w:t xml:space="preserve">[CONFERIR o juizado regional no TJRJ: pela residência no Recreio dos Bandeirantes, provável Foro Regional da Barra da Tijuca]</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00"/>
        <w:gridCol w:w="4571"/>
      </w:tblGrid>
      <w:tr>
        <w:tc>
          <w:tcPr>
            <w:tcW w:type="dxa" w:w="4500"/>
            <w:tcBorders>
              <w:top w:val="none" w:color="FFFFFF" w:sz="0"/>
              <w:left w:val="none" w:color="FFFFFF" w:sz="0"/>
              <w:bottom w:val="none" w:color="FFFFFF" w:sz="0"/>
              <w:right w:val="none" w:color="FFFFFF" w:sz="0"/>
            </w:tcBorders>
          </w:tcPr>
          <w:p>
            <w:r>
              <w:t xml:space="preserve"/>
            </w:r>
          </w:p>
        </w:tc>
        <w:tc>
          <w:tcPr>
            <w:tcW w:type="dxa" w:w="4571"/>
            <w:tcBorders>
              <w:top w:val="none" w:color="FFFFFF" w:sz="0"/>
              <w:left w:val="none" w:color="FFFFFF" w:sz="0"/>
              <w:bottom w:val="none" w:color="FFFFFF" w:sz="0"/>
              <w:right w:val="none" w:color="FFFFFF" w:sz="0"/>
            </w:tcBorders>
            <w:shd w:fill="C00000" w:color="auto" w:val="clear"/>
            <w:tcMar>
              <w:top w:type="dxa" w:w="120"/>
              <w:left w:type="dxa" w:w="160"/>
              <w:bottom w:type="dxa" w:w="120"/>
              <w:right w:type="dxa" w:w="160"/>
            </w:tcMar>
          </w:tcPr>
          <w:p>
            <w:pPr>
              <w:spacing w:after="60" w:before="0"/>
            </w:pPr>
            <w:r>
              <w:rPr>
                <w:rFonts w:ascii="Palatino Linotype" w:cs="Palatino Linotype" w:eastAsia="Palatino Linotype" w:hAnsi="Palatino Linotype"/>
                <w:b/>
                <w:bCs/>
                <w:color w:val="FFFFFF"/>
                <w:sz w:val="22"/>
                <w:szCs w:val="22"/>
              </w:rPr>
              <w:t xml:space="preserve">●  COBRANÇA REITERADA ACIMA DO PREÇO RECONHECIDO À ANATEL</w:t>
            </w:r>
          </w:p>
          <w:p>
            <w:pPr>
              <w:spacing w:after="60" w:before="0"/>
            </w:pPr>
            <w:r>
              <w:rPr>
                <w:rFonts w:ascii="Palatino Linotype" w:cs="Palatino Linotype" w:eastAsia="Palatino Linotype" w:hAnsi="Palatino Linotype"/>
                <w:b/>
                <w:bCs/>
                <w:color w:val="FFFFFF"/>
                <w:sz w:val="22"/>
                <w:szCs w:val="22"/>
              </w:rPr>
              <w:t xml:space="preserve">●  DESCUMPRIMENTO DE OFERTA E DE COMPROMISSO ESCRITO</w:t>
            </w:r>
          </w:p>
          <w:p>
            <w:pPr>
              <w:spacing w:after="60" w:before="0"/>
            </w:pPr>
            <w:r>
              <w:rPr>
                <w:rFonts w:ascii="Palatino Linotype" w:cs="Palatino Linotype" w:eastAsia="Palatino Linotype" w:hAnsi="Palatino Linotype"/>
                <w:b/>
                <w:bCs/>
                <w:color w:val="FFFFFF"/>
                <w:sz w:val="22"/>
                <w:szCs w:val="22"/>
              </w:rPr>
              <w:t xml:space="preserve">●  DESVIO PRODUTIVO DO CONSUMIDOR</w:t>
            </w:r>
          </w:p>
          <w:p>
            <w:pPr>
              <w:spacing w:after="60" w:before="0"/>
            </w:pPr>
            <w:r>
              <w:rPr>
                <w:rFonts w:ascii="Palatino Linotype" w:cs="Palatino Linotype" w:eastAsia="Palatino Linotype" w:hAnsi="Palatino Linotype"/>
                <w:b/>
                <w:bCs/>
                <w:color w:val="FFFFFF"/>
                <w:sz w:val="22"/>
                <w:szCs w:val="22"/>
              </w:rPr>
              <w:t xml:space="preserve">●  RISCO DE SUSPENSÃO DO SERVIÇO</w:t>
            </w:r>
          </w:p>
        </w:tc>
      </w:tr>
    </w:tbl>
    <w:p>
      <w:pPr>
        <w:keepNext w:val="false"/>
        <w:spacing w:after="200" w:before="0"/>
      </w:pPr>
    </w:p>
    <w:p>
      <w:pPr>
        <w:spacing w:after="160" w:before="0" w:line="360" w:lineRule="auto"/>
        <w:ind w:firstLine="720"/>
        <w:jc w:val="both"/>
      </w:pPr>
      <w:r>
        <w:rPr>
          <w:rFonts w:ascii="Palatino Linotype" w:cs="Palatino Linotype" w:eastAsia="Palatino Linotype" w:hAnsi="Palatino Linotype"/>
          <w:b/>
          <w:bCs/>
          <w:sz w:val="24"/>
          <w:szCs w:val="24"/>
        </w:rPr>
        <w:t xml:space="preserve">GABRIEL DE LIMA GONÇALVES</w:t>
      </w:r>
      <w:r>
        <w:rPr>
          <w:rFonts w:ascii="Palatino Linotype" w:cs="Palatino Linotype" w:eastAsia="Palatino Linotype" w:hAnsi="Palatino Linotype"/>
          <w:sz w:val="24"/>
          <w:szCs w:val="24"/>
        </w:rPr>
        <w:t xml:space="preserve">, brasileiro, </w:t>
      </w:r>
      <w:r>
        <w:rPr>
          <w:rFonts w:ascii="Palatino Linotype" w:cs="Palatino Linotype" w:eastAsia="Palatino Linotype" w:hAnsi="Palatino Linotype"/>
          <w:b/>
          <w:bCs/>
          <w:sz w:val="24"/>
          <w:szCs w:val="24"/>
          <w:shd w:fill="F1F000" w:color="auto" w:val="clear"/>
        </w:rPr>
        <w:t xml:space="preserve">[ESTADO CIVIL]</w:t>
      </w: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b/>
          <w:bCs/>
          <w:sz w:val="24"/>
          <w:szCs w:val="24"/>
          <w:shd w:fill="F1F000" w:color="auto" w:val="clear"/>
        </w:rPr>
        <w:t xml:space="preserve">[PROFISSÃO]</w:t>
      </w:r>
      <w:r>
        <w:rPr>
          <w:rFonts w:ascii="Palatino Linotype" w:cs="Palatino Linotype" w:eastAsia="Palatino Linotype" w:hAnsi="Palatino Linotype"/>
          <w:sz w:val="24"/>
          <w:szCs w:val="24"/>
        </w:rPr>
        <w:t xml:space="preserve">, portador do RG nº 209932342 DIC/RJ, inscrito no CPF nº 058.496.987-28, e-mail </w:t>
      </w:r>
      <w:r>
        <w:rPr>
          <w:rFonts w:ascii="Palatino Linotype" w:cs="Palatino Linotype" w:eastAsia="Palatino Linotype" w:hAnsi="Palatino Linotype"/>
          <w:b/>
          <w:bCs/>
          <w:sz w:val="24"/>
          <w:szCs w:val="24"/>
          <w:shd w:fill="F1F000" w:color="auto" w:val="clear"/>
        </w:rPr>
        <w:t xml:space="preserve">[CONFIRMAR COM O CLIENTE]</w:t>
      </w:r>
      <w:r>
        <w:rPr>
          <w:rFonts w:ascii="Palatino Linotype" w:cs="Palatino Linotype" w:eastAsia="Palatino Linotype" w:hAnsi="Palatino Linotype"/>
          <w:sz w:val="24"/>
          <w:szCs w:val="24"/>
        </w:rPr>
        <w:t xml:space="preserve">, residente e domiciliado na Avenida Salvador Allende, nº 971, Bloco 2, apartamento 610, Recreio dos Bandeirantes, CEP 22780-160, Rio de Janeiro/RJ, por sua advogada subscritora, conforme instrumento de mandato anexo, vem, respeitosamente, propor a presente: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none" w:color="FFFFFF" w:sz="0"/>
              <w:left w:val="none" w:color="FFFFFF" w:sz="0"/>
              <w:bottom w:val="none" w:color="FFFFFF" w:sz="0"/>
              <w:right w:val="none" w:color="FFFFFF" w:sz="0"/>
            </w:tcBorders>
            <w:shd w:fill="F2DCDB" w:color="auto" w:val="clear"/>
            <w:tcMar>
              <w:top w:type="dxa" w:w="160"/>
              <w:left w:type="dxa" w:w="160"/>
              <w:bottom w:type="dxa" w:w="160"/>
              <w:right w:type="dxa" w:w="160"/>
            </w:tcMar>
          </w:tcPr>
          <w:p>
            <w:pPr>
              <w:spacing w:after="60"/>
              <w:jc w:val="center"/>
            </w:pPr>
            <w:r>
              <w:rPr>
                <w:rFonts w:ascii="Palatino Linotype" w:cs="Palatino Linotype" w:eastAsia="Palatino Linotype" w:hAnsi="Palatino Linotype"/>
                <w:b/>
                <w:bCs/>
                <w:color w:val="941717"/>
                <w:sz w:val="28"/>
                <w:szCs w:val="28"/>
              </w:rPr>
              <w:t xml:space="preserve">AÇÃO DE OBRIGAÇÃO DE FAZER C/C INEXIGIBILIDADE DE COBRANÇAS, REPETIÇÃO DE INDÉBITO E DANOS MORAIS</w:t>
            </w:r>
          </w:p>
          <w:p>
            <w:pPr>
              <w:jc w:val="center"/>
            </w:pPr>
            <w:r>
              <w:rPr>
                <w:rFonts w:ascii="Palatino Linotype" w:cs="Palatino Linotype" w:eastAsia="Palatino Linotype" w:hAnsi="Palatino Linotype"/>
                <w:b/>
                <w:bCs/>
                <w:sz w:val="24"/>
                <w:szCs w:val="24"/>
              </w:rPr>
              <w:t xml:space="preserve">COM PEDIDO DE TUTELA DE URGÊNCIA</w:t>
            </w:r>
          </w:p>
        </w:tc>
      </w:tr>
    </w:tbl>
    <w:p>
      <w:pPr>
        <w:keepNext w:val="false"/>
        <w:spacing w:after="200" w:before="0"/>
      </w:pPr>
    </w:p>
    <w:p>
      <w:pPr>
        <w:spacing w:after="160" w:before="0" w:line="360" w:lineRule="auto"/>
        <w:ind w:firstLine="720"/>
        <w:jc w:val="both"/>
      </w:pPr>
      <w:r>
        <w:rPr>
          <w:rFonts w:ascii="Palatino Linotype" w:cs="Palatino Linotype" w:eastAsia="Palatino Linotype" w:hAnsi="Palatino Linotype"/>
          <w:sz w:val="24"/>
          <w:szCs w:val="24"/>
        </w:rPr>
        <w:t xml:space="preserve">Em face de </w:t>
      </w:r>
      <w:r>
        <w:rPr>
          <w:rFonts w:ascii="Palatino Linotype" w:cs="Palatino Linotype" w:eastAsia="Palatino Linotype" w:hAnsi="Palatino Linotype"/>
          <w:b/>
          <w:bCs/>
          <w:sz w:val="24"/>
          <w:szCs w:val="24"/>
        </w:rPr>
        <w:t xml:space="preserve">CLARO NXT TELECOMUNICAÇÕES S.A.</w:t>
      </w:r>
      <w:r>
        <w:rPr>
          <w:rFonts w:ascii="Palatino Linotype" w:cs="Palatino Linotype" w:eastAsia="Palatino Linotype" w:hAnsi="Palatino Linotype"/>
          <w:sz w:val="24"/>
          <w:szCs w:val="24"/>
        </w:rPr>
        <w:t xml:space="preserve">, pessoa jurídica de direito privado, inscrita no CNPJ nº 66.970.229/0001-67, com sede na Rua Henri Dunant, nº 780, Torre B, 3º andar, Santo Amaro, CEP 04709-110, São Paulo/SP, responsável pela emissão de notas fiscais do serviço residencial discutido, pelos fatos e fundamentos seguintes. </w:t>
      </w:r>
      <w:r>
        <w:rPr>
          <w:rFonts w:ascii="Palatino Linotype" w:cs="Palatino Linotype" w:eastAsia="Palatino Linotype" w:hAnsi="Palatino Linotype"/>
          <w:b/>
          <w:bCs/>
          <w:sz w:val="24"/>
          <w:szCs w:val="24"/>
          <w:shd w:fill="F1F000" w:color="auto" w:val="clear"/>
        </w:rPr>
        <w:t xml:space="preserve">[CONFERIR NO CARTÃO CNPJ: a nota fiscal (Doc. nº 04) mostra Claro NXT, CNPJ 66.970.229/0011-39, Av. Presidente Vargas, 3131, Rio de Janeiro; os e-mails de fatura mostram CNPJ 40.432.544/0001-47, Rua Henri Dunant, 780; o Pix tem beneficiário “Claro S/A”. Avaliar citar pelo endereço do Rio e incluir a Claro S.A. como corré]</w:t>
      </w:r>
    </w:p>
    <w:p>
      <w:pPr>
        <w:keepNext/>
        <w:spacing w:after="120" w:before="240"/>
      </w:pPr>
      <w:r>
        <w:rPr>
          <w:rFonts w:ascii="Palatino Linotype" w:cs="Palatino Linotype" w:eastAsia="Palatino Linotype" w:hAnsi="Palatino Linotype"/>
          <w:b/>
          <w:bCs/>
          <w:sz w:val="24"/>
          <w:szCs w:val="24"/>
        </w:rPr>
        <w:t xml:space="preserve">I.    DO RETROSPECTO FÁTICO E DA REINCIDÊNCIA DAS COBRANÇAS</w:t>
      </w:r>
    </w:p>
    <w:p>
      <w:pPr>
        <w:spacing w:after="160" w:before="0" w:line="360" w:lineRule="auto"/>
        <w:ind w:firstLine="720"/>
        <w:jc w:val="both"/>
      </w:pPr>
      <w:r>
        <w:rPr>
          <w:rFonts w:ascii="Palatino Linotype" w:cs="Palatino Linotype" w:eastAsia="Palatino Linotype" w:hAnsi="Palatino Linotype"/>
          <w:sz w:val="24"/>
          <w:szCs w:val="24"/>
        </w:rPr>
        <w:t xml:space="preserve">O Autor é titular da contratação de internet residencial associada ao código de cliente 038/015276522, e é cliente da operadora há cerca de vinte anos, desde a antiga NET, conforme relatou à ANATEL na reclamação de 30/04/2025.</w:t>
      </w:r>
    </w:p>
    <w:p>
      <w:pPr>
        <w:spacing w:after="160" w:before="0" w:line="360" w:lineRule="auto"/>
        <w:ind w:firstLine="720"/>
        <w:jc w:val="both"/>
      </w:pPr>
      <w:r>
        <w:rPr>
          <w:rFonts w:ascii="Palatino Linotype" w:cs="Palatino Linotype" w:eastAsia="Palatino Linotype" w:hAnsi="Palatino Linotype"/>
          <w:sz w:val="24"/>
          <w:szCs w:val="24"/>
        </w:rPr>
        <w:t xml:space="preserve">A controvérsia é objetiva: a operadora reconheceu e confirmou em respostas formais à ANATEL o preço mensal de R$ 56,00, mas voltou a remeter faturas de R$ 61,00, exigindo que o consumidor reclame repetidamente para obter o simples cumprimento do valor ajustado.</w:t>
      </w:r>
    </w:p>
    <w:p>
      <w:pPr>
        <w:spacing w:after="160" w:before="0" w:line="360" w:lineRule="auto"/>
        <w:ind w:firstLine="720"/>
        <w:jc w:val="both"/>
      </w:pPr>
      <w:r>
        <w:rPr>
          <w:rFonts w:ascii="Palatino Linotype" w:cs="Palatino Linotype" w:eastAsia="Palatino Linotype" w:hAnsi="Palatino Linotype"/>
          <w:sz w:val="24"/>
          <w:szCs w:val="24"/>
        </w:rPr>
        <w:t xml:space="preserve">A situação não começou recentemente. Em 30/04/2025, o Autor protocolou perante a ANATEL a reclamação 202504300222495. Relatou aumentos que reputava indevidos e a necessidade de procurar a central todos os meses, registrando que aquela já era a segunda vez que reclamava à agência. </w:t>
      </w:r>
      <w:r>
        <w:rPr>
          <w:rFonts w:ascii="Palatino Linotype" w:cs="Palatino Linotype" w:eastAsia="Palatino Linotype" w:hAnsi="Palatino Linotype"/>
          <w:b/>
          <w:bCs/>
          <w:sz w:val="24"/>
          <w:szCs w:val="24"/>
          <w:shd w:fill="F1F000" w:color="auto" w:val="clear"/>
        </w:rPr>
        <w:t xml:space="preserve">[JUNTAR, se o cliente tiver, a reclamação anterior a abril de 2025]</w:t>
      </w:r>
    </w:p>
    <w:p>
      <w:pPr>
        <w:spacing w:after="160" w:before="0" w:line="360" w:lineRule="auto"/>
        <w:ind w:firstLine="720"/>
        <w:jc w:val="both"/>
      </w:pPr>
      <w:r>
        <w:rPr>
          <w:rFonts w:ascii="Palatino Linotype" w:cs="Palatino Linotype" w:eastAsia="Palatino Linotype" w:hAnsi="Palatino Linotype"/>
          <w:sz w:val="24"/>
          <w:szCs w:val="24"/>
        </w:rPr>
        <w:t xml:space="preserve">Na resposta oficial, a fornecedora confirmou o contrato nº 038/015276522, o plano de internet residencial de 350 Mb e o desconto comercial de R$ 23,90, que deixaria a fatura em R$ 56,00 até dezembro daquele ano. Trata-se de reconhecimento escrito da própria prestadora, não de valor unilateralmente atribuído pelo consumidor.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05 - RECLAMAÇÃO ANATEL Nº 202504300222495 (30/04/2025) E RESPOSTA DA OPERADORA</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Em 31/01/2026, depois de nova cobrança de R$ 79,90, foi necessária outra reclamação à ANATEL, sob nº 202601318629735. Na resposta de 02/02/2026, a fornecedora admitiu expressamente que a diferença de R$ 23,90 correspondia a valor acima do contratado, informou ter corrigido a fatura para R$ 56,00 e assumiu o compromisso de manter esse preço até dezembro de 2026. A origem do direito alegado está, portanto, documentada nas manifestações da própria empresa.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06 - RECLAMAÇÃO ANATEL Nº 202601318629735 (31/01/2026) E RESPOSTA DE 02/02/2026</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Mesmo diante desse compromisso, a fatura original de maio de 2026 foi emitida em R$ 61,00, sendo retificada para R$ 56,00 apenas depois da intervenção do Autor, mediante protocolo 038267344371241, conforme e-mail de 30/04/2026.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08 - FATURA ORIGINAL DE MAIO DE 2026 (R$ 61,00)</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14 - FATURA CORRIGIDA DE MAIO DE 2026 (R$ 56,00)</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Em junho de 2026, a operadora remeteu nova cobrança de R$ 61,00. Em julho de 2026, a fatura veio corretamente em R$ 56,00, fato que reforça a viabilidade operacional da cobrança no preço acordado e a falta de justificativa para os erros dos outros meses.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09 - FATURA ORIGINAL DE JUNHO DE 2026 (R$ 61,00)</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10 - FATURA DE JULHO DE 2026 (R$ 56,00)</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O mesmo roteiro se repetiu em agosto de 2026: a fatura original exigia R$ 61,00 e a ré, após o protocolo 038267606164987, remeteu segunda via corrigida para R$ 56,00 em 29/07/2026. No ciclo seguinte, em setembro de 2026, voltou a cobrar R$ 61,00, o que levou à terceira reclamação documentalmente comprovada na ANATEL, nº 202608311886897, apresentada em 31/08/2026.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11 - FATURA ORIGINAL DE AGOSTO DE 2026 (R$ 61,00)</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15 - FATURA CORRIGIDA DE AGOSTO DE 2026 (R$ 56,00)</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12 - FATURA ORIGINAL DE SETEMBRO DE 2026 (R$ 61,00)</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Na resposta a essa reclamação, a ré informou o envio de boleto corrigido em R$ 56,00, com vencimento em 10/09/2026, e declarou expressamente que manteria esse preço até setembro de 2027. </w:t>
      </w:r>
      <w:r>
        <w:rPr>
          <w:rFonts w:ascii="Palatino Linotype" w:cs="Palatino Linotype" w:eastAsia="Palatino Linotype" w:hAnsi="Palatino Linotype"/>
          <w:b/>
          <w:bCs/>
          <w:sz w:val="24"/>
          <w:szCs w:val="24"/>
          <w:shd w:fill="F1F000" w:color="auto" w:val="clear"/>
        </w:rPr>
        <w:t xml:space="preserve">[ANEXAR a segunda via corrigida de setembro: a pasta não tem o e-mail nem o boleto, só a resposta da ANATEL]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07 - RECLAMAÇÃO ANATEL Nº 202608311886897 (31/08/2026) E RESPOSTA DA OPERADORA</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Reconheceu os transtornos ocorridos, pediu desculpas e afirmou ter reorientado a equipe. Nem essa nova promessa impediu o problema: a fatura com vencimento em 10/10/2026 voltou a exigir R$ 61,00. Em 13/10/2026, o Autor precisou buscar atendimento novamente, registrado sob o nº 038267839958742. Somente na fatura de 10/10/2026 constam, ainda, cinco registros de atendimento (038267735364078, 038267721462266, 038267718436125, 038267715842374 e 038267712810887), que evidenciam a insistência do consumidor em obter a correção.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13 - FATURA ORIGINAL DE OUTUBRO DE 2026 (R$ 61,00)</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16 - PROTOCOLO DE ATENDIMENTO DE 13/10/2026</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Os documentos disponibilizados demonstram, de forma específica, a seguinte sequência de cobranças de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071"/>
      </w:tblGrid>
      <w:tr>
        <w:trPr>
          <w:cantSplit/>
          <w:tblHeader/>
        </w:trPr>
        <w:tc>
          <w:tcPr>
            <w:tcW w:type="dxa" w:w="1800"/>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VENCIMENTO</w:t>
            </w:r>
          </w:p>
        </w:tc>
        <w:tc>
          <w:tcPr>
            <w:tcW w:type="dxa" w:w="2000"/>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FATURA ORIGINAL</w:t>
            </w:r>
          </w:p>
        </w:tc>
        <w:tc>
          <w:tcPr>
            <w:tcW w:type="dxa" w:w="2200"/>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VALOR RECONHECIDO</w:t>
            </w:r>
          </w:p>
        </w:tc>
        <w:tc>
          <w:tcPr>
            <w:tcW w:type="dxa" w:w="3071"/>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PROVIDÊNCIA COMPROVADA</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10/05/2026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R$ 61,00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R$ 56,00</w:t>
            </w:r>
          </w:p>
        </w:tc>
        <w:tc>
          <w:tcPr>
            <w:tcW w:type="dxa" w:w="30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Corrigida em 30/04 (Doc. nº 14)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10/06/2026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R$ 61,00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R$ 56,00</w:t>
            </w:r>
          </w:p>
        </w:tc>
        <w:tc>
          <w:tcPr>
            <w:tcW w:type="dxa" w:w="30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Sem retificação juntada</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10/07/2026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R$ 56,00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R$ 56,00</w:t>
            </w:r>
          </w:p>
        </w:tc>
        <w:tc>
          <w:tcPr>
            <w:tcW w:type="dxa" w:w="30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Cobrança regular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10/08/2026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R$ 61,00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R$ 56,00</w:t>
            </w:r>
          </w:p>
        </w:tc>
        <w:tc>
          <w:tcPr>
            <w:tcW w:type="dxa" w:w="30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Corrigida em 29/07 (Doc. nº 15)</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10/09/2026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R$ 61,00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R$ 56,00</w:t>
            </w:r>
          </w:p>
        </w:tc>
        <w:tc>
          <w:tcPr>
            <w:tcW w:type="dxa" w:w="30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Corrigida após ANATEL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10/10/2026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R$ 61,00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R$ 56,00</w:t>
            </w:r>
          </w:p>
        </w:tc>
        <w:tc>
          <w:tcPr>
            <w:tcW w:type="dxa" w:w="30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Nova contestação em 13/10 (Doc. nº 16)</w:t>
            </w:r>
          </w:p>
        </w:tc>
      </w:tr>
    </w:tbl>
    <w:p>
      <w:pPr>
        <w:keepNext w:val="false"/>
        <w:spacing w:after="200" w:before="0"/>
      </w:pPr>
    </w:p>
    <w:p>
      <w:pPr>
        <w:spacing w:after="160" w:before="0" w:line="360" w:lineRule="auto"/>
        <w:ind w:firstLine="720"/>
        <w:jc w:val="both"/>
      </w:pPr>
      <w:r>
        <w:rPr>
          <w:rFonts w:ascii="Palatino Linotype" w:cs="Palatino Linotype" w:eastAsia="Palatino Linotype" w:hAnsi="Palatino Linotype"/>
          <w:sz w:val="24"/>
          <w:szCs w:val="24"/>
        </w:rPr>
        <w:t xml:space="preserve">A diferença mensal de R$ 5,00 não traduz a dimensão do ocorrido. O problema central é a reincidência, inclusive após retificações, reclamações regulatórias e promessas formais de manutenção do preço.</w:t>
      </w:r>
    </w:p>
    <w:p>
      <w:pPr>
        <w:spacing w:after="160" w:before="0" w:line="360" w:lineRule="auto"/>
        <w:ind w:firstLine="720"/>
        <w:jc w:val="both"/>
      </w:pPr>
      <w:r>
        <w:rPr>
          <w:rFonts w:ascii="Palatino Linotype" w:cs="Palatino Linotype" w:eastAsia="Palatino Linotype" w:hAnsi="Palatino Linotype"/>
          <w:sz w:val="24"/>
          <w:szCs w:val="24"/>
        </w:rPr>
        <w:t xml:space="preserve">O consumidor foi obrigado a conferir cobranças, registrar protocolos, acompanhar respostas e solicitar novas vias de uma fatura que deveria chegar corretamente desde o início. A falha de gestão do faturamento foi transferida, sem justificativa, ao destinatário do serviço.</w:t>
      </w:r>
    </w:p>
    <w:p>
      <w:pPr>
        <w:spacing w:after="160" w:before="0" w:line="360" w:lineRule="auto"/>
        <w:ind w:firstLine="720"/>
        <w:jc w:val="both"/>
      </w:pPr>
      <w:r>
        <w:rPr>
          <w:rFonts w:ascii="Palatino Linotype" w:cs="Palatino Linotype" w:eastAsia="Palatino Linotype" w:hAnsi="Palatino Linotype"/>
          <w:sz w:val="24"/>
          <w:szCs w:val="24"/>
        </w:rPr>
        <w:t xml:space="preserve">Há uma distinção probatória relevante: os arquivos comprovam a emissão das cobranças, as retificações pontuais e os compromissos de preço, mas não contêm comprovantes bancários suficientes para afirmar que todas as diferenças cobradas foram efetivamente pagas. </w:t>
      </w:r>
      <w:r>
        <w:rPr>
          <w:rFonts w:ascii="Palatino Linotype" w:cs="Palatino Linotype" w:eastAsia="Palatino Linotype" w:hAnsi="Palatino Linotype"/>
          <w:b/>
          <w:bCs/>
          <w:sz w:val="24"/>
          <w:szCs w:val="24"/>
          <w:shd w:fill="F1F000" w:color="auto" w:val="clear"/>
        </w:rPr>
        <w:t xml:space="preserve">[JUNTAR os comprovantes de pagamento de maio a outubro, principalmente junho, setembro e outubro; sem eles a repetição em dobro fica ilíquida. Se este parágrafo for mantido, o pedido e) fica condicionado à exibição]</w:t>
      </w:r>
    </w:p>
    <w:p>
      <w:pPr>
        <w:spacing w:after="160" w:before="0" w:line="360" w:lineRule="auto"/>
        <w:ind w:firstLine="720"/>
        <w:jc w:val="both"/>
      </w:pPr>
      <w:r>
        <w:rPr>
          <w:rFonts w:ascii="Palatino Linotype" w:cs="Palatino Linotype" w:eastAsia="Palatino Linotype" w:hAnsi="Palatino Linotype"/>
          <w:sz w:val="24"/>
          <w:szCs w:val="24"/>
        </w:rPr>
        <w:t xml:space="preserve">O pedido de restituição é formulado para alcançar somente os valores indevidos efetivamente recebidos pela ré, a serem apurados pela exibição do histórico financeiro, sem confundir cobrança com pagamento.</w:t>
      </w:r>
    </w:p>
    <w:p>
      <w:pPr>
        <w:keepNext/>
        <w:spacing w:after="120" w:before="240"/>
      </w:pPr>
      <w:r>
        <w:rPr>
          <w:rFonts w:ascii="Palatino Linotype" w:cs="Palatino Linotype" w:eastAsia="Palatino Linotype" w:hAnsi="Palatino Linotype"/>
          <w:b/>
          <w:bCs/>
          <w:sz w:val="24"/>
          <w:szCs w:val="24"/>
        </w:rPr>
        <w:t xml:space="preserve">II.    DA FUNDAMENTAÇÃO JURÍDICA</w:t>
      </w:r>
    </w:p>
    <w:p>
      <w:pPr>
        <w:keepNext/>
        <w:spacing w:after="120" w:before="240"/>
      </w:pPr>
      <w:r>
        <w:rPr>
          <w:rFonts w:ascii="Palatino Linotype" w:cs="Palatino Linotype" w:eastAsia="Palatino Linotype" w:hAnsi="Palatino Linotype"/>
          <w:b/>
          <w:bCs/>
          <w:sz w:val="24"/>
          <w:szCs w:val="24"/>
        </w:rPr>
        <w:t xml:space="preserve">II.I.    DA RELAÇÃO DE CONSUMO, DA RESPONSABILIDADE OBJETIVA E DO DEVER DE INFORMAÇÃO</w:t>
      </w:r>
    </w:p>
    <w:p>
      <w:pPr>
        <w:spacing w:after="160" w:before="0" w:line="360" w:lineRule="auto"/>
        <w:ind w:firstLine="720"/>
        <w:jc w:val="both"/>
      </w:pPr>
      <w:r>
        <w:rPr>
          <w:rFonts w:ascii="Palatino Linotype" w:cs="Palatino Linotype" w:eastAsia="Palatino Linotype" w:hAnsi="Palatino Linotype"/>
          <w:sz w:val="24"/>
          <w:szCs w:val="24"/>
        </w:rPr>
        <w:t xml:space="preserve">A relação é tipicamente consumerista. O Autor utiliza o serviço de acesso à internet como destinatário final; a ré o fornece profissionalmente, mediante remuneração. Aplicam-se os arts. 2º, 3º, 6º, III e VI, e 14 do Código de Defesa do Consumidor. A prestadora não se exonera por atribuir a cobrança à parametrização de seu sistema, à aplicação de desconto, à classificação comercial da oferta ou ao processamento automático das faturas.</w:t>
      </w:r>
    </w:p>
    <w:p>
      <w:pPr>
        <w:spacing w:after="160" w:before="0" w:line="360" w:lineRule="auto"/>
        <w:ind w:firstLine="720"/>
        <w:jc w:val="both"/>
      </w:pPr>
      <w:r>
        <w:rPr>
          <w:rFonts w:ascii="Palatino Linotype" w:cs="Palatino Linotype" w:eastAsia="Palatino Linotype" w:hAnsi="Palatino Linotype"/>
          <w:sz w:val="24"/>
          <w:szCs w:val="24"/>
        </w:rPr>
        <w:t xml:space="preserve">A responsabilidade objetiva do fornecedor é expressa no art. 14 do CDC, especialmente adequado ao caso em que o serviço principal é prestado, mas o faturamento e o atendimento pós-contratual apresentam falhas reiteradas:</w:t>
      </w:r>
    </w:p>
    <w:p>
      <w:pPr>
        <w:spacing w:after="40" w:before="0" w:line="276"/>
        <w:ind w:start="3402" w:end="0"/>
        <w:jc w:val="both"/>
      </w:pPr>
      <w:r>
        <w:rPr>
          <w:rFonts w:ascii="Palatino Linotype" w:cs="Palatino Linotype" w:eastAsia="Palatino Linotype" w:hAnsi="Palatino Linotype"/>
          <w:i/>
          <w:iCs/>
          <w:sz w:val="20"/>
          <w:szCs w:val="20"/>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A empresa tem domínio exclusivo do cadastro comercial, dos registros de ofertas, dos descontos e das regras de emissão. O consumidor não altera esses parâmetros e não pode ser obrigado a detectar e corrigir erros de sistema todo mês. É dever da ré emitir faturas fiéis ao preço que ela própria reconheceu, oferecendo informações corretas e soluções efetivas, nos termos da boa-fé objetiva (art. 422 do Código Civil).</w:t>
      </w:r>
    </w:p>
    <w:p>
      <w:pPr>
        <w:spacing w:after="160" w:before="0" w:line="360" w:lineRule="auto"/>
        <w:ind w:firstLine="720"/>
        <w:jc w:val="both"/>
      </w:pPr>
      <w:r>
        <w:rPr>
          <w:rFonts w:ascii="Palatino Linotype" w:cs="Palatino Linotype" w:eastAsia="Palatino Linotype" w:hAnsi="Palatino Linotype"/>
          <w:sz w:val="24"/>
          <w:szCs w:val="24"/>
        </w:rPr>
        <w:t xml:space="preserve">A fatura de outubro discrimina mensalidade nominal de R$ 84,90 e desconto de R$ 23,90, resultando em R$ 61,00. O demonstrativo, portanto, revela como se chega matematicamente ao valor indevido; não comprova o consentimento do Autor para trocar a base econômica da oferta anteriormente ajustada.</w:t>
      </w:r>
    </w:p>
    <w:p>
      <w:pPr>
        <w:spacing w:after="160" w:before="0" w:line="360" w:lineRule="auto"/>
        <w:ind w:firstLine="720"/>
        <w:jc w:val="both"/>
      </w:pPr>
      <w:r>
        <w:rPr>
          <w:rFonts w:ascii="Palatino Linotype" w:cs="Palatino Linotype" w:eastAsia="Palatino Linotype" w:hAnsi="Palatino Linotype"/>
          <w:sz w:val="24"/>
          <w:szCs w:val="24"/>
        </w:rPr>
        <w:t xml:space="preserve">A ré deve apresentar o instrumento ou registro idôneo de eventual modificação contratual, a informação prévia e a aceitação do consumidor, em vez de pretender que a emissão unilateral da fatura constitua prova da dívida.</w:t>
      </w:r>
    </w:p>
    <w:p>
      <w:pPr>
        <w:keepNext/>
        <w:spacing w:after="120" w:before="240"/>
      </w:pPr>
      <w:r>
        <w:rPr>
          <w:rFonts w:ascii="Palatino Linotype" w:cs="Palatino Linotype" w:eastAsia="Palatino Linotype" w:hAnsi="Palatino Linotype"/>
          <w:b/>
          <w:bCs/>
          <w:sz w:val="24"/>
          <w:szCs w:val="24"/>
        </w:rPr>
        <w:t xml:space="preserve">II.II.    DO DESCUMPRIMENTO DA OFERTA E DA INEXIGIBILIDADE DO EXCESSO</w:t>
      </w:r>
    </w:p>
    <w:p>
      <w:pPr>
        <w:spacing w:after="160" w:before="0" w:line="360" w:lineRule="auto"/>
        <w:ind w:firstLine="720"/>
        <w:jc w:val="both"/>
      </w:pPr>
      <w:r>
        <w:rPr>
          <w:rFonts w:ascii="Palatino Linotype" w:cs="Palatino Linotype" w:eastAsia="Palatino Linotype" w:hAnsi="Palatino Linotype"/>
          <w:sz w:val="24"/>
          <w:szCs w:val="24"/>
        </w:rPr>
        <w:t xml:space="preserve">A vinculação do fornecedor à oferta não se limita a anúncios publicitários. Inclui o preço e as condições individualmente negociados e confirmados durante a execução contratual. O art. 30 do CDC determina que a informação suficientemente precisa integra o contrato; o art. 35, I, assegura ao consumidor exigir o cumprimento forçado da obrigação nos termos ofertados.</w:t>
      </w:r>
    </w:p>
    <w:p>
      <w:pPr>
        <w:spacing w:after="40" w:before="0" w:line="276"/>
        <w:ind w:start="3402" w:end="0"/>
        <w:jc w:val="both"/>
      </w:pPr>
      <w:r>
        <w:rPr>
          <w:rFonts w:ascii="Palatino Linotype" w:cs="Palatino Linotype" w:eastAsia="Palatino Linotype" w:hAnsi="Palatino Linotype"/>
          <w:i/>
          <w:iCs/>
          <w:sz w:val="20"/>
          <w:szCs w:val="20"/>
        </w:rPr>
        <w:t xml:space="preserve">Art. 30. Toda informação ou publicidade, suficientemente precisa, veiculada por qualquer forma ou meio de comunicação com relação a produtos e serviços oferecidos ou apresentados, obriga o fornecedor que a fizer veicular ou dela se utilizar e integra o contrato que vier a ser celebrado.</w:t>
      </w:r>
    </w:p>
    <w:p>
      <w:pPr>
        <w:spacing w:after="40" w:before="0" w:line="276"/>
        <w:ind w:start="3402" w:end="0"/>
        <w:jc w:val="both"/>
      </w:pPr>
      <w:r>
        <w:rPr>
          <w:rFonts w:ascii="Palatino Linotype" w:cs="Palatino Linotype" w:eastAsia="Palatino Linotype" w:hAnsi="Palatino Linotype"/>
          <w:i/>
          <w:iCs/>
          <w:sz w:val="20"/>
          <w:szCs w:val="20"/>
        </w:rPr>
        <w:t xml:space="preserve">Art. 35. Se o fornecedor de produtos ou serviços recusar cumprimento à oferta, apresentação ou publicidade, o consumidor poderá, alternativamente e à sua livre escolha: I - exigir o cumprimento forçado da obrigação, nos termos da oferta, apresentação ou publicidade; [...]</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As respostas de 02/02/2026 e de setembro de 2026 são especialmente esclarecedoras: primeiro, a Claro assumiu o preço de R$ 56,00 até dezembro de 2026; depois, estendeu essa condição até setembro de 2027.</w:t>
      </w:r>
    </w:p>
    <w:p>
      <w:pPr>
        <w:spacing w:after="160" w:before="0" w:line="360" w:lineRule="auto"/>
        <w:ind w:firstLine="720"/>
        <w:jc w:val="both"/>
      </w:pPr>
      <w:r>
        <w:rPr>
          <w:rFonts w:ascii="Palatino Linotype" w:cs="Palatino Linotype" w:eastAsia="Palatino Linotype" w:hAnsi="Palatino Linotype"/>
          <w:sz w:val="24"/>
          <w:szCs w:val="24"/>
        </w:rPr>
        <w:t xml:space="preserve">Não existe, nos documentos fornecidos, comunicação contratual posterior e aceita pelo Autor que autorize novo preço de R$ 61,00. A reemissão recorrente da cobrança revela descumprimento da própria solução oferecida pela fornecedora.</w:t>
      </w:r>
    </w:p>
    <w:p>
      <w:pPr>
        <w:spacing w:after="160" w:before="0" w:line="360" w:lineRule="auto"/>
        <w:ind w:firstLine="720"/>
        <w:jc w:val="both"/>
      </w:pPr>
      <w:r>
        <w:rPr>
          <w:rFonts w:ascii="Palatino Linotype" w:cs="Palatino Linotype" w:eastAsia="Palatino Linotype" w:hAnsi="Palatino Linotype"/>
          <w:sz w:val="24"/>
          <w:szCs w:val="24"/>
        </w:rPr>
        <w:t xml:space="preserve">É certo que a diferença de R$ 5,00 decorre de majoração da mensalidade-base: a fatura de 10/10/2026 mostra mensalidade nominal de R$ 84,90, abatido o desconto comercial de R$ 23,90, ao passo que a resposta da ré à ANATEL de 30/04/2025 identificava a mensalidade-base em R$ 79,90. Ainda que a ré invoque reajuste contratual, ela própria se comprometeu por escrito, em 02/02/2026 e em setembro de 2026, a manter a fatura em R$ 56,00 até dezembro de 2026 e, depois, até setembro de 2027. Na resposta à reclamação nº 202608311886897, a ré informou que “o contrato foi reajustado e será mantido o valor de 56,00”. O preço final ajustado, portanto, independe da composição interna da mensalidade e do desconto. </w:t>
      </w:r>
      <w:r>
        <w:rPr>
          <w:rFonts w:ascii="Palatino Linotype" w:cs="Palatino Linotype" w:eastAsia="Palatino Linotype" w:hAnsi="Palatino Linotype"/>
          <w:b/>
          <w:bCs/>
          <w:sz w:val="24"/>
          <w:szCs w:val="24"/>
          <w:shd w:fill="F1F000" w:color="auto" w:val="clear"/>
        </w:rPr>
        <w:t xml:space="preserve">[CONFERIR a transcrição literal no PDF da reclamação de 31/08/2026 (Doc. nº 07)]</w:t>
      </w:r>
    </w:p>
    <w:p>
      <w:pPr>
        <w:spacing w:after="160" w:before="0" w:line="360" w:lineRule="auto"/>
        <w:ind w:firstLine="720"/>
        <w:jc w:val="both"/>
      </w:pPr>
      <w:r>
        <w:rPr>
          <w:rFonts w:ascii="Palatino Linotype" w:cs="Palatino Linotype" w:eastAsia="Palatino Linotype" w:hAnsi="Palatino Linotype"/>
          <w:sz w:val="24"/>
          <w:szCs w:val="24"/>
        </w:rPr>
        <w:t xml:space="preserve">A fatura de 10/10/2026 registra o desconto como “01/02/26 a 28/02/26, desconto comercial Claro banda larga 350 mega, - R$ 23,90”. Caso a ré pretenda sustentar que o desconto vigorou apenas em fevereiro, a tese é desmentida pelas suas próprias respostas à ANATEL, que estendem o preço de R$ 56,00 até dezembro de 2026 e, depois, até setembro de 2027, e será objeto da exibição requerida.</w:t>
      </w:r>
    </w:p>
    <w:p>
      <w:pPr>
        <w:spacing w:after="160" w:before="0" w:line="360" w:lineRule="auto"/>
        <w:ind w:firstLine="720"/>
        <w:jc w:val="both"/>
      </w:pPr>
      <w:r>
        <w:rPr>
          <w:rFonts w:ascii="Palatino Linotype" w:cs="Palatino Linotype" w:eastAsia="Palatino Linotype" w:hAnsi="Palatino Linotype"/>
          <w:sz w:val="24"/>
          <w:szCs w:val="24"/>
        </w:rPr>
        <w:t xml:space="preserve">Requer-se, por isso, a declaração de inexigibilidade de cada parcela que ultrapasse R$ 56,00, nos ciclos documentados e nos subsequentes abrangidos pelo compromisso reconhecido até setembro de 2027, acompanhada de ordem de atualização definitiva do cadastro comercial e de faturamento. O pedido não se dirige à extinção do serviço, mas à continuidade do contrato pelo preço comprovadamente ajustado.</w:t>
      </w:r>
    </w:p>
    <w:p>
      <w:pPr>
        <w:keepNext/>
        <w:spacing w:after="120" w:before="240"/>
      </w:pPr>
      <w:r>
        <w:rPr>
          <w:rFonts w:ascii="Palatino Linotype" w:cs="Palatino Linotype" w:eastAsia="Palatino Linotype" w:hAnsi="Palatino Linotype"/>
          <w:b/>
          <w:bCs/>
          <w:sz w:val="24"/>
          <w:szCs w:val="24"/>
        </w:rPr>
        <w:t xml:space="preserve">II.III.    DA VIOLAÇÃO ÀS REGRAS DE CONTESTAÇÃO E FATURAMENTO DA ANATEL</w:t>
      </w:r>
    </w:p>
    <w:p>
      <w:pPr>
        <w:spacing w:after="160" w:before="0" w:line="360" w:lineRule="auto"/>
        <w:ind w:firstLine="720"/>
        <w:jc w:val="both"/>
      </w:pPr>
      <w:r>
        <w:rPr>
          <w:rFonts w:ascii="Palatino Linotype" w:cs="Palatino Linotype" w:eastAsia="Palatino Linotype" w:hAnsi="Palatino Linotype"/>
          <w:sz w:val="24"/>
          <w:szCs w:val="24"/>
        </w:rPr>
        <w:t xml:space="preserve">A Resolução ANATEL nº 765/2023 regulamenta a contestação de débitos de telecomunicações. A controvérsia está diretamente abrangida pelos seus arts. 60 a 64, pois o Autor contestou valores específicos e a própria prestadora reconheceu diversas vezes o preço menor. </w:t>
      </w:r>
      <w:r>
        <w:rPr>
          <w:rFonts w:ascii="Palatino Linotype" w:cs="Palatino Linotype" w:eastAsia="Palatino Linotype" w:hAnsi="Palatino Linotype"/>
          <w:b/>
          <w:bCs/>
          <w:sz w:val="24"/>
          <w:szCs w:val="24"/>
          <w:shd w:fill="F1F000" w:color="auto" w:val="clear"/>
        </w:rPr>
        <w:t xml:space="preserve">[CONFERIR no site da ANATEL a numeração, o texto e a vigência (a peça afirmava vigência desde 01/09/2025, sem fonte)]</w:t>
      </w:r>
    </w:p>
    <w:p>
      <w:pPr>
        <w:spacing w:after="40" w:before="0" w:line="276"/>
        <w:ind w:start="3402" w:end="0"/>
        <w:jc w:val="both"/>
      </w:pPr>
      <w:r>
        <w:rPr>
          <w:rFonts w:ascii="Palatino Linotype" w:cs="Palatino Linotype" w:eastAsia="Palatino Linotype" w:hAnsi="Palatino Linotype"/>
          <w:i/>
          <w:iCs/>
          <w:sz w:val="20"/>
          <w:szCs w:val="20"/>
        </w:rPr>
        <w:t xml:space="preserve">Art. 60. O Consumidor poderá contestar a cobrança de valores junto à Prestadora no prazo de 3 (três) anos contados da data da cobrança considerada indevida. Parágrafo único. O valor contestado e ainda não pago terá sua cobrança suspensa e a Prestadora deverá emitir, sem ônus ao Consumidor, novo documento de cobrança para pagamento dos valores não contestados, com prazo adicional, observado o disposto no § 1º do art. 54.</w:t>
      </w:r>
    </w:p>
    <w:p>
      <w:pPr>
        <w:spacing w:after="40" w:before="0" w:line="276"/>
        <w:ind w:start="3402" w:end="0"/>
        <w:jc w:val="both"/>
      </w:pPr>
      <w:r>
        <w:rPr>
          <w:rFonts w:ascii="Palatino Linotype" w:cs="Palatino Linotype" w:eastAsia="Palatino Linotype" w:hAnsi="Palatino Linotype"/>
          <w:i/>
          <w:iCs/>
          <w:sz w:val="20"/>
          <w:szCs w:val="20"/>
        </w:rPr>
        <w:t xml:space="preserve">Art. 61. A contestação de débito suspende a fluência dos prazos para suspensão e rescisão contratual, até que o Consumidor seja notificado da resposta da Prestadora à sua contestação. § 1º A Prestadora deverá analisar a contestação de débito e notificar o Consumidor de sua resposta no prazo máximo de 30 (trinta) dias, a contar da contestação.</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A resolução não admite que a ré imponha ao consumidor a alternativa entre quitar integralmente uma cobrança questionada e sofrer medidas por inadimplência. O valor incontroverso de R$ 56,00 deve ser disponibilizado em boleto próprio, sem encargos decorrentes exclusivamente do excesso contestado, e o serviço deve ser preservado durante o processamento da controvérsia.</w:t>
      </w:r>
    </w:p>
    <w:p>
      <w:pPr>
        <w:spacing w:after="160" w:before="0" w:line="360" w:lineRule="auto"/>
        <w:ind w:firstLine="720"/>
        <w:jc w:val="both"/>
      </w:pPr>
      <w:r>
        <w:rPr>
          <w:rFonts w:ascii="Palatino Linotype" w:cs="Palatino Linotype" w:eastAsia="Palatino Linotype" w:hAnsi="Palatino Linotype"/>
          <w:sz w:val="24"/>
          <w:szCs w:val="24"/>
        </w:rPr>
        <w:t xml:space="preserve">O cancelamento da cobrança procedentemente contestada decorre do art. 62, II, da mesma resolução. O regulamento também prevê, no art. 64, a devolução em dobro das quantias efetivamente pagas em excesso, com correção monetária e juros de 1% ao mês. Isso confirma a gravidade normativa da cobrança que persiste mesmo após reconhecimento administrativo e reforça a necessidade de provimento judicial capaz de impedir sua repetição.</w:t>
      </w:r>
    </w:p>
    <w:p>
      <w:pPr>
        <w:keepNext/>
        <w:spacing w:after="120" w:before="240"/>
      </w:pPr>
      <w:r>
        <w:rPr>
          <w:rFonts w:ascii="Palatino Linotype" w:cs="Palatino Linotype" w:eastAsia="Palatino Linotype" w:hAnsi="Palatino Linotype"/>
          <w:b/>
          <w:bCs/>
          <w:sz w:val="24"/>
          <w:szCs w:val="24"/>
        </w:rPr>
        <w:t xml:space="preserve">II.IV.    DO DANO MORAL</w:t>
      </w:r>
    </w:p>
    <w:p>
      <w:pPr>
        <w:spacing w:after="160" w:before="0" w:line="360" w:lineRule="auto"/>
        <w:ind w:firstLine="720"/>
        <w:jc w:val="both"/>
      </w:pPr>
      <w:r>
        <w:rPr>
          <w:rFonts w:ascii="Palatino Linotype" w:cs="Palatino Linotype" w:eastAsia="Palatino Linotype" w:hAnsi="Palatino Linotype"/>
          <w:sz w:val="24"/>
          <w:szCs w:val="24"/>
        </w:rPr>
        <w:t xml:space="preserve">A pretensão moral não decorre do valor isolado de R$ 5,00. Decorre de mais de um ano de repetição do problema, de múltiplas reclamações à agência reguladora, de faturas erradas depois de respostas formais e da necessidade de o consumidor assumir tarefa que integra a atividade econômica da fornecedora. A ré transformou a manutenção de um preço já acertado em demanda administrativa periódica.</w:t>
      </w:r>
    </w:p>
    <w:p>
      <w:pPr>
        <w:spacing w:after="160" w:before="0" w:line="360" w:lineRule="auto"/>
        <w:ind w:firstLine="720"/>
        <w:jc w:val="both"/>
      </w:pPr>
      <w:r>
        <w:rPr>
          <w:rFonts w:ascii="Palatino Linotype" w:cs="Palatino Linotype" w:eastAsia="Palatino Linotype" w:hAnsi="Palatino Linotype"/>
          <w:sz w:val="24"/>
          <w:szCs w:val="24"/>
        </w:rPr>
        <w:t xml:space="preserve">O Autor, cliente há cerca de vinte anos, precisou registrar, ao menos, reclamações em 30/04/2025, 31/01/2026 e 31/08/2026, obter retificações em maio e agosto de 2026 e retornar ao atendimento em 13/10/2026, além dos cinco protocolos listados na fatura de 10/10/2026. Os protocolos e os e-mails juntados permitem constatar as tentativas concretas de solução, sem que seja necessário atribuir ao Autor quantidade não demonstrada de horas ou prejuízos profissionais não documentados.</w:t>
      </w:r>
    </w:p>
    <w:p>
      <w:pPr>
        <w:spacing w:after="160" w:before="0" w:line="360" w:lineRule="auto"/>
        <w:ind w:firstLine="720"/>
        <w:jc w:val="both"/>
      </w:pPr>
      <w:r>
        <w:rPr>
          <w:rFonts w:ascii="Palatino Linotype" w:cs="Palatino Linotype" w:eastAsia="Palatino Linotype" w:hAnsi="Palatino Linotype"/>
          <w:sz w:val="24"/>
          <w:szCs w:val="24"/>
        </w:rPr>
        <w:t xml:space="preserve">Esse itinerário evidencia o desvio produtivo do consumidor: sucessiva utilização do tempo livre e da atenção pessoal para resolver falha que a prestadora conhece, reconhece e não elimina. Também evidencia quebra da confiança contratual. O dano invocado é o desgaste extraordinário de ter de fiscalizar e corrigir a operação de cobrança, repetidamente, para conseguir usufruir serviço no preço pactuado.</w:t>
      </w:r>
    </w:p>
    <w:p>
      <w:pPr>
        <w:spacing w:after="160" w:before="0" w:line="360" w:lineRule="auto"/>
        <w:ind w:firstLine="720"/>
        <w:jc w:val="both"/>
      </w:pPr>
      <w:r>
        <w:rPr>
          <w:rFonts w:ascii="Palatino Linotype" w:cs="Palatino Linotype" w:eastAsia="Palatino Linotype" w:hAnsi="Palatino Linotype"/>
          <w:sz w:val="24"/>
          <w:szCs w:val="24"/>
        </w:rPr>
        <w:t xml:space="preserve">O Tribunal de Justiça do Rio de Janeiro já examinou situação de forte semelhança: cobranças de telefonia acima do preço contratado, reclamações administrativas e necessidade de recorrer à Justiça para cessar a irregularidade, reconhecendo a responsabilidade do fornecedor e a incidência da teoria do desvio produtivo. A ementa do acórdão é a seguinte:</w:t>
      </w:r>
    </w:p>
    <w:p>
      <w:pPr>
        <w:spacing w:after="40" w:before="0" w:line="276"/>
        <w:ind w:start="3402" w:end="0"/>
        <w:jc w:val="both"/>
      </w:pPr>
      <w:r>
        <w:rPr>
          <w:rFonts w:ascii="Palatino Linotype" w:cs="Palatino Linotype" w:eastAsia="Palatino Linotype" w:hAnsi="Palatino Linotype"/>
          <w:i/>
          <w:iCs/>
          <w:sz w:val="20"/>
          <w:szCs w:val="20"/>
        </w:rPr>
        <w:t xml:space="preserve">TJRJ. DIREITO DO CONSUMIDOR. APELAÇÃO CÍVEL. COBRANÇA INDEVIDA DE SERVIÇO DE TELEFONIA. DESVIO PRODUTIVO DO CONSUMIDOR. DANO MORAL IN RE IPSA. RECURSO PROVIDO. 1. Questão discutida nos autos que consiste na verificação da existência de danos morais a reparar, diante da incontroversa falha na prestação de serviços pela ré. 2. Relação de consumo. Incidência do CDC. Responsabilidade objetiva. Art. 14, § 3º, da Lei 8.078/90. 3. Cobrança indevida de valores superiores ao contratado que configura falha na prestação de serviços. 4. Dano moral in re ipsa. Necessidade de recorrer ao Judiciário para cessar cobranças indevidas. Aplicação da Teoria do Desvio Produtivo do Consumidor. Jurisprudência pacífica do STJ e deste Tribunal. 5. Arbitramento do dano moral em R$ 3.000,00 (três mil reais), valor proporcional à gravidade do dano e à reprovabilidade da conduta da ré. 6. Precedentes deste Tribunal. Apelação nº 0015624-19.2021.8.19.0206, Des(a). Wilson do Nascimento Reis, julgamento: 07/11/2024, Décima Sétima Câmara de Direito Privado. Apelação nº 0807786-20.2024.8.19.0001, Des(a). Lucia Helena do Passo, julgamento: 24/10/2024, Décima Primeira Câmara de Direito Privado. 7. Recurso provido. (TJ-RJ - APELAÇÃO: 08332004020238190038 2024001131934, Relator: Des(a). PAULO WUNDER DE ALENCAR, Data de Julgamento: 11/02/2025, Décima Oitava Câmara de Direito Privado, Data de Publicação: 14/02/2025)</w:t>
      </w:r>
    </w:p>
    <w:p>
      <w:pPr>
        <w:spacing w:after="40" w:before="0" w:line="276"/>
        <w:ind w:start="3402" w:end="0"/>
        <w:jc w:val="both"/>
      </w:pPr>
      <w:r>
        <w:rPr>
          <w:rFonts w:ascii="Palatino Linotype" w:cs="Palatino Linotype" w:eastAsia="Palatino Linotype" w:hAnsi="Palatino Linotype"/>
          <w:b/>
          <w:bCs/>
          <w:i/>
          <w:iCs/>
          <w:sz w:val="20"/>
          <w:szCs w:val="20"/>
          <w:shd w:fill="F1F000" w:color="auto" w:val="clear"/>
        </w:rPr>
        <w:t xml:space="preserve">[CONFERIR no portal do TJRJ a ementa, o valor e o número do processo (Apelação 0833200-40.2023.8.19.0038), bem como os dois precedentes nela citados. O acórdão fixou R$ 3.000,00]</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No presente caso, a irregularidade persistiu mesmo após manifestações escritas da fornecedora perante a ANATEL, circunstância que acentua o desrespeito ao tempo útil e à confiança do consumidor. A indenização considera a duração da conduta desde 2025, a repetição após a admissão expressa do erro, as sucessivas promessas não cumpridas e a necessidade de intervenção judicial para obter obrigação simples.</w:t>
      </w:r>
    </w:p>
    <w:p>
      <w:pPr>
        <w:spacing w:after="160" w:before="0" w:line="360" w:lineRule="auto"/>
        <w:ind w:firstLine="720"/>
        <w:jc w:val="both"/>
      </w:pPr>
      <w:r>
        <w:rPr>
          <w:rFonts w:ascii="Palatino Linotype" w:cs="Palatino Linotype" w:eastAsia="Palatino Linotype" w:hAnsi="Palatino Linotype"/>
          <w:sz w:val="24"/>
          <w:szCs w:val="24"/>
        </w:rPr>
        <w:t xml:space="preserve">Desta feita, requer seja a Ré condenada ao pagamento de R$ 10.000,00 de indenização por danos morais. </w:t>
      </w:r>
      <w:r>
        <w:rPr>
          <w:rFonts w:ascii="Palatino Linotype" w:cs="Palatino Linotype" w:eastAsia="Palatino Linotype" w:hAnsi="Palatino Linotype"/>
          <w:b/>
          <w:bCs/>
          <w:sz w:val="24"/>
          <w:szCs w:val="24"/>
          <w:shd w:fill="F1F000" w:color="auto" w:val="clear"/>
        </w:rPr>
        <w:t xml:space="preserve">[DECIDIR (Dra. Bruna): a ementa citada arbitrou R$ 3.000,00 e a diferença cobrada é de R$ 5,00 por mês; há risco de “mero aborrecimento”. O parecer sugere calibrar o pedido, por exemplo para R$ 5.000,00]</w:t>
      </w:r>
    </w:p>
    <w:p>
      <w:pPr>
        <w:keepNext/>
        <w:spacing w:after="120" w:before="240"/>
      </w:pPr>
      <w:r>
        <w:rPr>
          <w:rFonts w:ascii="Palatino Linotype" w:cs="Palatino Linotype" w:eastAsia="Palatino Linotype" w:hAnsi="Palatino Linotype"/>
          <w:b/>
          <w:bCs/>
          <w:sz w:val="24"/>
          <w:szCs w:val="24"/>
        </w:rPr>
        <w:t xml:space="preserve">II.V.    DA RESTITUIÇÃO EM DOBRO DOS VALORES EFETIVAMENTE PAGOS A MAIOR</w:t>
      </w:r>
    </w:p>
    <w:p>
      <w:pPr>
        <w:spacing w:after="160" w:before="0" w:line="360" w:lineRule="auto"/>
        <w:ind w:firstLine="720"/>
        <w:jc w:val="both"/>
      </w:pPr>
      <w:r>
        <w:rPr>
          <w:rFonts w:ascii="Palatino Linotype" w:cs="Palatino Linotype" w:eastAsia="Palatino Linotype" w:hAnsi="Palatino Linotype"/>
          <w:sz w:val="24"/>
          <w:szCs w:val="24"/>
        </w:rPr>
        <w:t xml:space="preserve">A pretensão de repetição não abrange automaticamente os boletos emitidos: requer-se a devolução somente do que tiver sido efetivamente pago e recebido em excesso. O art. 42, parágrafo único, do CDC disciplina a consequência da cobrança indevida que resulte em desembolso do consumidor:</w:t>
      </w:r>
    </w:p>
    <w:p>
      <w:pPr>
        <w:spacing w:after="40" w:before="0" w:line="276"/>
        <w:ind w:start="3402" w:end="0"/>
        <w:jc w:val="both"/>
      </w:pPr>
      <w:r>
        <w:rPr>
          <w:rFonts w:ascii="Palatino Linotype" w:cs="Palatino Linotype" w:eastAsia="Palatino Linotype" w:hAnsi="Palatino Linotype"/>
          <w:i/>
          <w:iCs/>
          <w:sz w:val="20"/>
          <w:szCs w:val="20"/>
        </w:rPr>
        <w:t xml:space="preserve">Art. 42. [...] Parágrafo único. O consumidor cobrado em quantia indevida tem direito à repetição do indébito, por valor igual ao dobro do que pagou em excesso, acrescido de correção monetária e juros legais, salvo hipótese de engano justificável.</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No EAREsp 676.608/RS, a Corte Especial do STJ fixou a compreensão de que a restituição em dobro não depende de demonstração de dolo ou má-fé subjetiva, bastando a cobrança indevida contrária à boa-fé objetiva. A orientação é especialmente pertinente para telefonia e afasta a tentativa de tratar como engano justificável a repetição de lançamentos já reconhecidos como equivocados pelo próprio fornecedor.</w:t>
      </w:r>
    </w:p>
    <w:p>
      <w:pPr>
        <w:spacing w:after="40" w:before="0" w:line="276"/>
        <w:ind w:start="3402" w:end="0"/>
        <w:jc w:val="both"/>
      </w:pPr>
      <w:r>
        <w:rPr>
          <w:rFonts w:ascii="Palatino Linotype" w:cs="Palatino Linotype" w:eastAsia="Palatino Linotype" w:hAnsi="Palatino Linotype"/>
          <w:i/>
          <w:iCs/>
          <w:sz w:val="20"/>
          <w:szCs w:val="20"/>
        </w:rPr>
        <w:t xml:space="preserve">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 (STJ, EAREsp 676.608/RS, Corte Especial, Rel. Min. Og Fernandes, julgado em 21/10/2020, DJe 30/03/2021.)</w:t>
      </w:r>
    </w:p>
    <w:p>
      <w:pPr>
        <w:spacing w:after="40" w:before="0" w:line="276"/>
        <w:ind w:start="3402" w:end="0"/>
        <w:jc w:val="both"/>
      </w:pPr>
      <w:r>
        <w:rPr>
          <w:rFonts w:ascii="Palatino Linotype" w:cs="Palatino Linotype" w:eastAsia="Palatino Linotype" w:hAnsi="Palatino Linotype"/>
          <w:b/>
          <w:bCs/>
          <w:i/>
          <w:iCs/>
          <w:sz w:val="20"/>
          <w:szCs w:val="20"/>
          <w:shd w:fill="F1F000" w:color="auto" w:val="clear"/>
        </w:rPr>
        <w:t xml:space="preserve">[CONFERIR em scon.stj.jus.br o número, o relator, as datas e a modulação de efeitos da tese]</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O Autor apresentará os comprovantes de pagamento que estiverem sob sua guarda; a ré, por sua vez, tem os registros integrais dos créditos recebidos, das compensações, das faturas originais e das segundas vias emitidas. Requer-se sua apresentação para apuração mês a mês, sem presumir pagamento de contas para as quais os arquivos trazem apenas boletos ou e-mails de envio.</w:t>
      </w:r>
    </w:p>
    <w:p>
      <w:pPr>
        <w:spacing w:after="160" w:before="0" w:line="360" w:lineRule="auto"/>
        <w:ind w:firstLine="720"/>
        <w:jc w:val="both"/>
      </w:pPr>
      <w:r>
        <w:rPr>
          <w:rFonts w:ascii="Palatino Linotype" w:cs="Palatino Linotype" w:eastAsia="Palatino Linotype" w:hAnsi="Palatino Linotype"/>
          <w:sz w:val="24"/>
          <w:szCs w:val="24"/>
        </w:rPr>
        <w:t xml:space="preserve">Comprovado qualquer pagamento excedente, deverá haver restituição em dobro do respectivo excesso, observadas as atualizações legalmente incidentes e a disciplina do art. 64 da Resolução ANATEL nº 765/2023.</w:t>
      </w:r>
    </w:p>
    <w:p>
      <w:pPr>
        <w:keepNext/>
        <w:spacing w:after="120" w:before="240"/>
      </w:pPr>
      <w:r>
        <w:rPr>
          <w:rFonts w:ascii="Palatino Linotype" w:cs="Palatino Linotype" w:eastAsia="Palatino Linotype" w:hAnsi="Palatino Linotype"/>
          <w:b/>
          <w:bCs/>
          <w:sz w:val="24"/>
          <w:szCs w:val="24"/>
        </w:rPr>
        <w:t xml:space="preserve">II.VI.    DA INVERSÃO DO ÔNUS DA PROVA E DA EXIBIÇÃO DOS REGISTROS</w:t>
      </w:r>
    </w:p>
    <w:p>
      <w:pPr>
        <w:spacing w:after="160" w:before="0" w:line="360" w:lineRule="auto"/>
        <w:ind w:firstLine="720"/>
        <w:jc w:val="both"/>
      </w:pPr>
      <w:r>
        <w:rPr>
          <w:rFonts w:ascii="Palatino Linotype" w:cs="Palatino Linotype" w:eastAsia="Palatino Linotype" w:hAnsi="Palatino Linotype"/>
          <w:sz w:val="24"/>
          <w:szCs w:val="24"/>
        </w:rPr>
        <w:t xml:space="preserve">O consumidor apresentou a prova que razoavelmente estava a seu alcance: respostas às reclamações, e-mails de faturamento, duas retificações formais, documento de cobrança e protocolos. A discussão sobre os parâmetros internos de cobrança depende de dados que estão exclusivamente com a fornecedora. A inversão do ônus da prova, prevista no art. 6º, VIII, do CDC, é adequada à verossimilhança documentada e à hipossuficiência técnica do Autor.</w:t>
      </w:r>
    </w:p>
    <w:p>
      <w:pPr>
        <w:spacing w:after="160" w:before="0" w:line="360" w:lineRule="auto"/>
        <w:ind w:firstLine="720"/>
        <w:jc w:val="both"/>
      </w:pPr>
      <w:r>
        <w:rPr>
          <w:rFonts w:ascii="Palatino Linotype" w:cs="Palatino Linotype" w:eastAsia="Palatino Linotype" w:hAnsi="Palatino Linotype"/>
          <w:sz w:val="24"/>
          <w:szCs w:val="24"/>
        </w:rPr>
        <w:t xml:space="preserve">Com amparo nos arts. 396 a 400 do CPC, requer-se a apresentação de (i) íntegra do contrato de prestação do serviço e de todos os aditivos e ofertas, com prova da aceitação; (ii) histórico do cadastro de preço, descontos e eventuais reajustes de abril de 2025 até o efetivo cumprimento da decisão, indicando data e responsável por cada alteração; (iii) faturas originais, retificadas, estornadas e respectivo histórico de vencimentos, de abril de 2025 até a efetiva regularização; (iv) extrato completo de pagamentos, baixas, restituições e compensações, com identificação por competência; e (v) gravações, transcrições ou registros integrais dos atendimentos relacionados aos protocolos identificados nesta demanda.</w:t>
      </w:r>
    </w:p>
    <w:p>
      <w:pPr>
        <w:spacing w:after="160" w:before="0" w:line="360" w:lineRule="auto"/>
        <w:ind w:firstLine="720"/>
        <w:jc w:val="both"/>
      </w:pPr>
      <w:r>
        <w:rPr>
          <w:rFonts w:ascii="Palatino Linotype" w:cs="Palatino Linotype" w:eastAsia="Palatino Linotype" w:hAnsi="Palatino Linotype"/>
          <w:sz w:val="24"/>
          <w:szCs w:val="24"/>
        </w:rPr>
        <w:t xml:space="preserve">A pertinência de cada elemento é direta: o contrato e os aditivos comprovam o preço; o histórico de sistema explica as faturas de R$ 61,00, a composição da mensalidade e a vigência do desconto; os lançamentos financeiros indicam valores efetivamente pagos; e os atendimentos demonstram a ciência reiterada da ré. A ausência injustificada de exibição deverá ser apreciada segundo as consequências processuais do art. 400 do CPC, sem prejuízo do julgamento com as provas já existentes.</w:t>
      </w:r>
    </w:p>
    <w:p>
      <w:pPr>
        <w:keepNext/>
        <w:spacing w:after="120" w:before="240"/>
      </w:pPr>
      <w:r>
        <w:rPr>
          <w:rFonts w:ascii="Palatino Linotype" w:cs="Palatino Linotype" w:eastAsia="Palatino Linotype" w:hAnsi="Palatino Linotype"/>
          <w:b/>
          <w:bCs/>
          <w:sz w:val="24"/>
          <w:szCs w:val="24"/>
        </w:rPr>
        <w:t xml:space="preserve">III.    DA TUTELA DE URGÊNCIA PARA A REGULARIZAÇÃO DO FATURAMENTO</w:t>
      </w:r>
    </w:p>
    <w:p>
      <w:pPr>
        <w:spacing w:after="160" w:before="0" w:line="360" w:lineRule="auto"/>
        <w:ind w:firstLine="720"/>
        <w:jc w:val="both"/>
      </w:pPr>
      <w:r>
        <w:rPr>
          <w:rFonts w:ascii="Palatino Linotype" w:cs="Palatino Linotype" w:eastAsia="Palatino Linotype" w:hAnsi="Palatino Linotype"/>
          <w:sz w:val="24"/>
          <w:szCs w:val="24"/>
        </w:rPr>
        <w:t xml:space="preserve">A probabilidade do direito decorre de prova documental direta: três reclamações à ANATEL, duas promessas expressas de manutenção da mensalidade de R$ 56,00, faturas superiores, retificações posteriores e novo atendimento em 13/10/2026. O risco é atual, porque a fatura com vencimento em 10/10/2026 exigiu R$ 61,00 e contém advertência expressa quanto à possibilidade de suspensão do serviço e registro de inadimplência nos casos de falta de pagamento. </w:t>
      </w:r>
      <w:r>
        <w:rPr>
          <w:rFonts w:ascii="Palatino Linotype" w:cs="Palatino Linotype" w:eastAsia="Palatino Linotype" w:hAnsi="Palatino Linotype"/>
          <w:b/>
          <w:bCs/>
          <w:sz w:val="24"/>
          <w:szCs w:val="24"/>
          <w:shd w:fill="F1F000" w:color="auto" w:val="clear"/>
        </w:rPr>
        <w:t xml:space="preserve">[ATUALIZAR antes do protocolo: a fatura de 10/10 foi paga (R$ 56,00 ou R$ 61,00)? A Claro emitiu corrigida após o atendimento de 13/10? Já veio a fatura de novembro (venc. 10/11)? O pedido (a) abaixo deve refletir a situação real]</w:t>
      </w:r>
    </w:p>
    <w:p>
      <w:pPr>
        <w:spacing w:after="160" w:before="0" w:line="360" w:lineRule="auto"/>
        <w:ind w:firstLine="720"/>
        <w:jc w:val="both"/>
      </w:pPr>
      <w:r>
        <w:rPr>
          <w:rFonts w:ascii="Palatino Linotype" w:cs="Palatino Linotype" w:eastAsia="Palatino Linotype" w:hAnsi="Palatino Linotype"/>
          <w:sz w:val="24"/>
          <w:szCs w:val="24"/>
        </w:rPr>
        <w:t xml:space="preserve">O art. 300 do CPC autoriza a tutela de urgência quando demonstradas a probabilidade do direito e o perigo de dano ou risco ao resultado útil do processo. O pedido é reversível, pois não dispensa o Autor de pagar a contraprestação reconhecida de R$ 56,00; limita-se a impedir que o valor adicional controvertido seja exigido como condição para manter a internet contratada.</w:t>
      </w:r>
    </w:p>
    <w:p>
      <w:pPr>
        <w:spacing w:after="40" w:before="0" w:line="276"/>
        <w:ind w:start="3402" w:end="0"/>
        <w:jc w:val="both"/>
      </w:pPr>
      <w:r>
        <w:rPr>
          <w:rFonts w:ascii="Palatino Linotype" w:cs="Palatino Linotype" w:eastAsia="Palatino Linotype" w:hAnsi="Palatino Linotype"/>
          <w:i/>
          <w:iCs/>
          <w:sz w:val="20"/>
          <w:szCs w:val="20"/>
        </w:rPr>
        <w:t xml:space="preserve">Art. 300. A tutela de urgência será concedida quando houver elementos que evidenciem a probabilidade do direito e o perigo de dano ou o risco ao resultado útil do processo.</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Requer-se ordem para que a ré, no prazo de 48 horas, (a) disponibilize a fatura de outubro de 2026, ou documento de pagamento substitutivo, por R$ 56,00, com prazo adequado para quitação; (b) atualize seus sistemas para emissão das faturas seguintes pelo mesmo preço, até setembro de 2027; (c) abstenha-se de suspender, cancelar ou restringir o serviço, inscrever o nome do Autor em cadastros restritivos ou cobrar encargos relacionados exclusivamente às diferenças impugnadas, preservado o pagamento do valor incontroverso; e (d) comprove o cumprimento nos autos.</w:t>
      </w:r>
    </w:p>
    <w:p>
      <w:pPr>
        <w:spacing w:after="160" w:before="0" w:line="360" w:lineRule="auto"/>
        <w:ind w:firstLine="720"/>
        <w:jc w:val="both"/>
      </w:pPr>
      <w:r>
        <w:rPr>
          <w:rFonts w:ascii="Palatino Linotype" w:cs="Palatino Linotype" w:eastAsia="Palatino Linotype" w:hAnsi="Palatino Linotype"/>
          <w:sz w:val="24"/>
          <w:szCs w:val="24"/>
        </w:rPr>
        <w:t xml:space="preserve">Pede-se a fixação de multa diária de R$ 200,00, limitada inicialmente a R$ 6.000,00, para o descumprimento da obrigação, sem prejuízo de posterior readequação judicial. A medida é proporcional, objetiva e dirigida ao cumprimento de preço que a própria fornecedora aceitou por escrito.</w:t>
      </w:r>
    </w:p>
    <w:p>
      <w:pPr>
        <w:keepNext/>
        <w:spacing w:after="120" w:before="240"/>
      </w:pPr>
      <w:r>
        <w:rPr>
          <w:rFonts w:ascii="Palatino Linotype" w:cs="Palatino Linotype" w:eastAsia="Palatino Linotype" w:hAnsi="Palatino Linotype"/>
          <w:b/>
          <w:bCs/>
          <w:sz w:val="24"/>
          <w:szCs w:val="24"/>
        </w:rPr>
        <w:t xml:space="preserve">IV.    DOS PEDIDOS</w:t>
      </w:r>
    </w:p>
    <w:p>
      <w:pPr>
        <w:spacing w:after="160" w:before="0" w:line="360" w:lineRule="auto"/>
        <w:ind w:firstLine="720"/>
        <w:jc w:val="both"/>
      </w:pPr>
      <w:r>
        <w:rPr>
          <w:rFonts w:ascii="Palatino Linotype" w:cs="Palatino Linotype" w:eastAsia="Palatino Linotype" w:hAnsi="Palatino Linotype"/>
          <w:sz w:val="24"/>
          <w:szCs w:val="24"/>
        </w:rPr>
        <w:t xml:space="preserve">Diante do exposto, requer:</w:t>
      </w:r>
    </w:p>
    <w:p>
      <w:pPr>
        <w:spacing w:after="160" w:before="0" w:line="360" w:lineRule="auto"/>
        <w:jc w:val="both"/>
      </w:pPr>
      <w:r>
        <w:rPr>
          <w:rFonts w:ascii="Palatino Linotype" w:cs="Palatino Linotype" w:eastAsia="Palatino Linotype" w:hAnsi="Palatino Linotype"/>
          <w:sz w:val="24"/>
          <w:szCs w:val="24"/>
        </w:rPr>
        <w:t xml:space="preserve">a)  o recebimento da inicial e a citação da ré, no endereço indicado, para responder à demanda;</w:t>
      </w:r>
    </w:p>
    <w:p>
      <w:pPr>
        <w:spacing w:after="160" w:before="0" w:line="360" w:lineRule="auto"/>
        <w:jc w:val="both"/>
      </w:pPr>
      <w:r>
        <w:rPr>
          <w:rFonts w:ascii="Palatino Linotype" w:cs="Palatino Linotype" w:eastAsia="Palatino Linotype" w:hAnsi="Palatino Linotype"/>
          <w:sz w:val="24"/>
          <w:szCs w:val="24"/>
        </w:rPr>
        <w:t xml:space="preserve">b)  a concessão da tutela de urgência, para que a ré, em 48 horas: emita documento de pagamento de outubro de 2026 por R$ 56,00, com vencimento adequado; passe a faturar o contrato nº 038/015276522 nesse valor até setembro de 2027; suspenda a exigibilidade das diferenças questionadas e se abstenha, por causa exclusivamente delas, de suspender ou cancelar o serviço, impor multas e encargos ou efetivar inscrições restritivas, tudo sob multa diária de R$ 200,00, inicialmente limitada a R$ 6.000,00;</w:t>
      </w:r>
    </w:p>
    <w:p>
      <w:pPr>
        <w:spacing w:after="160" w:before="0" w:line="360" w:lineRule="auto"/>
        <w:jc w:val="both"/>
      </w:pPr>
      <w:r>
        <w:rPr>
          <w:rFonts w:ascii="Palatino Linotype" w:cs="Palatino Linotype" w:eastAsia="Palatino Linotype" w:hAnsi="Palatino Linotype"/>
          <w:sz w:val="24"/>
          <w:szCs w:val="24"/>
        </w:rPr>
        <w:t xml:space="preserve">c)  ao final, a confirmação da tutela e a condenação definitiva da ré a cumprir o preço de R$ 56,00 mensais até setembro de 2027, conforme o compromisso formalmente reconhecido, com regularização definitiva do cadastro e emissão correta dos documentos de cobrança;</w:t>
      </w:r>
    </w:p>
    <w:p>
      <w:pPr>
        <w:spacing w:after="160" w:before="0" w:line="360" w:lineRule="auto"/>
        <w:jc w:val="both"/>
      </w:pPr>
      <w:r>
        <w:rPr>
          <w:rFonts w:ascii="Palatino Linotype" w:cs="Palatino Linotype" w:eastAsia="Palatino Linotype" w:hAnsi="Palatino Linotype"/>
          <w:sz w:val="24"/>
          <w:szCs w:val="24"/>
        </w:rPr>
        <w:t xml:space="preserve">d)  a declaração de inexigibilidade dos valores superiores a R$ 56,00 nas faturas comprovadas e nos ciclos seguintes abrangidos pelo compromisso, com cancelamento dos excessos ainda não pagos, inclusive nas competências de junho e outubro de 2026, na extensão em que subsistirem;</w:t>
      </w:r>
    </w:p>
    <w:p>
      <w:pPr>
        <w:spacing w:after="160" w:before="0" w:line="360" w:lineRule="auto"/>
        <w:jc w:val="both"/>
      </w:pPr>
      <w:r>
        <w:rPr>
          <w:rFonts w:ascii="Palatino Linotype" w:cs="Palatino Linotype" w:eastAsia="Palatino Linotype" w:hAnsi="Palatino Linotype"/>
          <w:sz w:val="24"/>
          <w:szCs w:val="24"/>
        </w:rPr>
        <w:t xml:space="preserve">e)  a condenação da ré à restituição em dobro dos excessos efetivamente pagos, identificados mediante exibição dos registros financeiros e demais comprovantes, conforme art. 42, parágrafo único, do CDC e art. 64 da Resolução ANATEL nº 765/2023, com correção monetária e juros legais;</w:t>
      </w:r>
    </w:p>
    <w:p>
      <w:pPr>
        <w:spacing w:after="160" w:before="0" w:line="360" w:lineRule="auto"/>
        <w:jc w:val="both"/>
      </w:pPr>
      <w:r>
        <w:rPr>
          <w:rFonts w:ascii="Palatino Linotype" w:cs="Palatino Linotype" w:eastAsia="Palatino Linotype" w:hAnsi="Palatino Linotype"/>
          <w:sz w:val="24"/>
          <w:szCs w:val="24"/>
        </w:rPr>
        <w:t xml:space="preserve">f)  a condenação ao pagamento de R$ 10.000,00 a título de danos morais, pela prática reiterada, pelo descumprimento dos compromissos e pelo desvio produtivo demonstrado;</w:t>
      </w:r>
    </w:p>
    <w:p>
      <w:pPr>
        <w:spacing w:after="160" w:before="0" w:line="360" w:lineRule="auto"/>
        <w:jc w:val="both"/>
      </w:pPr>
      <w:r>
        <w:rPr>
          <w:rFonts w:ascii="Palatino Linotype" w:cs="Palatino Linotype" w:eastAsia="Palatino Linotype" w:hAnsi="Palatino Linotype"/>
          <w:sz w:val="24"/>
          <w:szCs w:val="24"/>
        </w:rPr>
        <w:t xml:space="preserve">g)  a inversão do ônus da prova na forma do art. 6º, VIII, do CDC, e a determinação de exibição dos documentos e dados especificados no tópico II.VI, sob as consequências do art. 400 do CPC;</w:t>
      </w:r>
    </w:p>
    <w:p>
      <w:pPr>
        <w:spacing w:after="160" w:before="0" w:line="360" w:lineRule="auto"/>
        <w:jc w:val="both"/>
      </w:pPr>
      <w:r>
        <w:rPr>
          <w:rFonts w:ascii="Palatino Linotype" w:cs="Palatino Linotype" w:eastAsia="Palatino Linotype" w:hAnsi="Palatino Linotype"/>
          <w:sz w:val="24"/>
          <w:szCs w:val="24"/>
        </w:rPr>
        <w:t xml:space="preserve">h)  a produção das provas documental suplementar e oral admitidas no rito, inclusive depoimento do preposto da ré, com oportunidade de manifestação sobre eventual documentação juntada;</w:t>
      </w:r>
    </w:p>
    <w:p>
      <w:pPr>
        <w:spacing w:after="160" w:before="0" w:line="360" w:lineRule="auto"/>
        <w:jc w:val="both"/>
      </w:pPr>
      <w:r>
        <w:rPr>
          <w:rFonts w:ascii="Palatino Linotype" w:cs="Palatino Linotype" w:eastAsia="Palatino Linotype" w:hAnsi="Palatino Linotype"/>
          <w:sz w:val="24"/>
          <w:szCs w:val="24"/>
        </w:rPr>
        <w:t xml:space="preserve">i)  a aplicação das regras da Lei nº 9.099/1995 quanto a custas e honorários, sem prejuízo das consequências legalmente cabíveis em fase recursal ou por litigância de má-fé.</w:t>
      </w:r>
    </w:p>
    <w:p>
      <w:pPr>
        <w:keepNext/>
        <w:spacing w:after="120" w:before="240"/>
      </w:pPr>
      <w:r>
        <w:rPr>
          <w:rFonts w:ascii="Palatino Linotype" w:cs="Palatino Linotype" w:eastAsia="Palatino Linotype" w:hAnsi="Palatino Linotype"/>
          <w:b/>
          <w:bCs/>
          <w:sz w:val="24"/>
          <w:szCs w:val="24"/>
        </w:rPr>
        <w:t xml:space="preserve">V.    DO VALOR DA CAUSA</w:t>
      </w:r>
    </w:p>
    <w:p>
      <w:pPr>
        <w:spacing w:after="160" w:before="0" w:line="360" w:lineRule="auto"/>
        <w:ind w:firstLine="720"/>
        <w:jc w:val="both"/>
      </w:pPr>
      <w:r>
        <w:rPr>
          <w:rFonts w:ascii="Palatino Linotype" w:cs="Palatino Linotype" w:eastAsia="Palatino Linotype" w:hAnsi="Palatino Linotype"/>
          <w:sz w:val="24"/>
          <w:szCs w:val="24"/>
        </w:rPr>
        <w:t xml:space="preserve">Atribui-se à causa, provisoriamente, o valor de R$ 10.065,00, composto por R$ 10.000,00 de reparação moral; R$ 10,00 correspondentes às diferenças de junho e outubro de 2026; e R$ 55,00 correspondentes às diferenças estimadas de novembro de 2026 a setembro de 2027 (onze parcelas de R$ 5,00). O valor de eventual repetição de indébito será precisado após o exame dos comprovantes de pagamento e dos registros sob guarda da fornecedora, com adequação da expressão econômica do pedido na forma processualmente cabível.</w:t>
      </w:r>
    </w:p>
    <w:p>
      <w:pPr>
        <w:keepNext/>
        <w:spacing w:after="120" w:before="240"/>
      </w:pPr>
      <w:r>
        <w:rPr>
          <w:rFonts w:ascii="Palatino Linotype" w:cs="Palatino Linotype" w:eastAsia="Palatino Linotype" w:hAnsi="Palatino Linotype"/>
          <w:b/>
          <w:bCs/>
          <w:sz w:val="24"/>
          <w:szCs w:val="24"/>
        </w:rPr>
        <w:t xml:space="preserve">VI.    DAS PUBLICAÇÕES</w:t>
      </w:r>
    </w:p>
    <w:p>
      <w:pPr>
        <w:spacing w:after="160" w:before="0" w:line="360" w:lineRule="auto"/>
        <w:ind w:firstLine="720"/>
        <w:jc w:val="both"/>
      </w:pPr>
      <w:r>
        <w:rPr>
          <w:rFonts w:ascii="Palatino Linotype" w:cs="Palatino Linotype" w:eastAsia="Palatino Linotype" w:hAnsi="Palatino Linotype"/>
          <w:sz w:val="24"/>
          <w:szCs w:val="24"/>
        </w:rPr>
        <w:t xml:space="preserve">Requer-se que as publicações e intimações sejam efetuadas em nome de </w:t>
      </w:r>
      <w:r>
        <w:rPr>
          <w:rFonts w:ascii="Palatino Linotype" w:cs="Palatino Linotype" w:eastAsia="Palatino Linotype" w:hAnsi="Palatino Linotype"/>
          <w:b/>
          <w:bCs/>
          <w:sz w:val="24"/>
          <w:szCs w:val="24"/>
        </w:rPr>
        <w:t xml:space="preserve">BRUNA CARLA GUARIM DA SILVA</w:t>
      </w:r>
      <w:r>
        <w:rPr>
          <w:rFonts w:ascii="Palatino Linotype" w:cs="Palatino Linotype" w:eastAsia="Palatino Linotype" w:hAnsi="Palatino Linotype"/>
          <w:sz w:val="24"/>
          <w:szCs w:val="24"/>
        </w:rPr>
        <w:t xml:space="preserve">, OAB/MT nº 25.020-O, sob pena de nulidade, nos termos do art. 272, § 2º, do CPC.</w:t>
      </w:r>
    </w:p>
    <w:p>
      <w:pPr>
        <w:keepNext/>
        <w:spacing w:after="200" w:before="0"/>
      </w:pPr>
    </w:p>
    <w:p>
      <w:pPr>
        <w:keepNext/>
        <w:spacing w:after="60"/>
        <w:jc w:val="center"/>
      </w:pPr>
      <w:r>
        <w:rPr>
          <w:rFonts w:ascii="Palatino Linotype" w:cs="Palatino Linotype" w:eastAsia="Palatino Linotype" w:hAnsi="Palatino Linotype"/>
          <w:sz w:val="24"/>
          <w:szCs w:val="24"/>
        </w:rPr>
        <w:t xml:space="preserve">Nestes termos,</w:t>
      </w:r>
    </w:p>
    <w:p>
      <w:pPr>
        <w:keepNext/>
        <w:spacing w:after="60"/>
        <w:jc w:val="center"/>
      </w:pPr>
      <w:r>
        <w:rPr>
          <w:rFonts w:ascii="Palatino Linotype" w:cs="Palatino Linotype" w:eastAsia="Palatino Linotype" w:hAnsi="Palatino Linotype"/>
          <w:sz w:val="24"/>
          <w:szCs w:val="24"/>
        </w:rPr>
        <w:t xml:space="preserve">Pede deferimento.</w:t>
      </w:r>
    </w:p>
    <w:p>
      <w:pPr>
        <w:keepNext/>
        <w:spacing w:after="120" w:before="0"/>
      </w:pPr>
    </w:p>
    <w:p>
      <w:pPr>
        <w:keepNext/>
        <w:spacing w:after="60"/>
        <w:jc w:val="center"/>
      </w:pPr>
      <w:r>
        <w:rPr>
          <w:rFonts w:ascii="Palatino Linotype" w:cs="Palatino Linotype" w:eastAsia="Palatino Linotype" w:hAnsi="Palatino Linotype"/>
          <w:sz w:val="24"/>
          <w:szCs w:val="24"/>
        </w:rPr>
        <w:t xml:space="preserve">Rio de Janeiro/RJ, data do protocolo.</w:t>
      </w:r>
    </w:p>
    <w:p>
      <w:pPr>
        <w:keepNext/>
        <w:spacing w:after="240" w:before="0"/>
      </w:pPr>
    </w:p>
    <w:p>
      <w:pPr>
        <w:keepNext/>
        <w:spacing w:after="60"/>
        <w:jc w:val="center"/>
      </w:pPr>
      <w:r>
        <w:rPr>
          <w:rFonts w:ascii="Palatino Linotype" w:cs="Palatino Linotype" w:eastAsia="Palatino Linotype" w:hAnsi="Palatino Linotype"/>
          <w:b/>
          <w:bCs/>
          <w:sz w:val="24"/>
          <w:szCs w:val="24"/>
        </w:rPr>
        <w:t xml:space="preserve">BRUNA CARLA GUARIM</w:t>
      </w:r>
    </w:p>
    <w:p>
      <w:pPr>
        <w:jc w:val="center"/>
      </w:pPr>
      <w:r>
        <w:rPr>
          <w:rFonts w:ascii="Palatino Linotype" w:cs="Palatino Linotype" w:eastAsia="Palatino Linotype" w:hAnsi="Palatino Linotype"/>
          <w:sz w:val="24"/>
          <w:szCs w:val="24"/>
        </w:rPr>
        <w:t xml:space="preserve">OAB – MT Nº 25020/O</w:t>
      </w:r>
    </w:p>
    <w:sectPr>
      <w:headerReference w:type="default" r:id="rId7"/>
      <w:footerReference w:type="default" r:id="rId8"/>
      <w:pgSz w:w="11906" w:h="16838" w:orient="portrait"/>
      <w:pgMar w:top="1701" w:right="1134" w:bottom="1879" w:left="1701" w:header="708" w:footer="113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C89800"/>
        <w:sz w:val="20"/>
        <w:szCs w:val="20"/>
      </w:rPr>
      <w:t xml:space="preserve">Av. Dr. Hélio Ribeiro, Nº. 525 - Bairro Alvorada, Edifício Helbor Dual Business Office &amp; Corporate, Sala 714, 7º andar, Cuiabá - MT, 78.048-250.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Palatino Linotype" w:cs="Palatino Linotype" w:eastAsia="Palatino Linotype" w:hAnsi="Palatino Linotype"/>
        <w:b/>
        <w:bCs/>
        <w:color w:val="C89800"/>
        <w:sz w:val="36"/>
        <w:szCs w:val="36"/>
      </w:rPr>
      <w:t xml:space="preserve">BRUNA GUARIM</w:t>
    </w:r>
  </w:p>
  <w:p>
    <w:pPr>
      <w:spacing w:after="120"/>
      <w:jc w:val="center"/>
    </w:pPr>
    <w:r>
      <w:rPr>
        <w:rFonts w:ascii="Palatino Linotype" w:cs="Palatino Linotype" w:eastAsia="Palatino Linotype" w:hAnsi="Palatino Linotype"/>
        <w:b/>
        <w:bCs/>
        <w:color w:val="C89800"/>
        <w:sz w:val="18"/>
        <w:szCs w:val="18"/>
      </w:rPr>
      <w:t xml:space="preserve">ADVOCACIA &amp; DIREITO DO PASSAGEIRO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Gabriel de Lima Gonçalves x Claro NXT</dc:title>
  <dc:creator>Bruna Guarim Advocacia</dc:creator>
  <cp:lastModifiedBy>Un-named</cp:lastModifiedBy>
  <cp:revision>1</cp:revision>
  <dcterms:created xsi:type="dcterms:W3CDTF">2026-10-27T01:23:53.928Z</dcterms:created>
  <dcterms:modified xsi:type="dcterms:W3CDTF">2026-10-27T01:23:53.934Z</dcterms:modified>
</cp:coreProperties>
</file>

<file path=docProps/custom.xml><?xml version="1.0" encoding="utf-8"?>
<Properties xmlns="http://schemas.openxmlformats.org/officeDocument/2006/custom-properties" xmlns:vt="http://schemas.openxmlformats.org/officeDocument/2006/docPropsVTypes"/>
</file>