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after="120"/>
        <w:ind w:firstLine="0"/>
        <w:jc w:val="center"/>
      </w:pPr>
      <w:r>
        <w:rPr>
          <w:rFonts w:ascii="黑体" w:hAnsi="黑体" w:eastAsia="黑体"/>
          <w:b/>
          <w:sz w:val="60"/>
        </w:rPr>
        <w:t>工商业储能 EMS</w:t>
      </w:r>
    </w:p>
    <w:p>
      <w:pPr>
        <w:spacing w:after="120"/>
        <w:ind w:firstLine="0"/>
        <w:jc w:val="center"/>
      </w:pPr>
      <w:r>
        <w:rPr>
          <w:rFonts w:ascii="黑体" w:hAnsi="黑体" w:eastAsia="黑体"/>
          <w:b/>
          <w:sz w:val="60"/>
        </w:rPr>
        <w:t>运行监控平台</w:t>
      </w:r>
    </w:p>
    <w:p>
      <w:pPr>
        <w:spacing w:before="360"/>
        <w:ind w:firstLine="0"/>
        <w:jc w:val="center"/>
      </w:pPr>
      <w:r>
        <w:rPr>
          <w:rFonts w:ascii="黑体" w:hAnsi="黑体" w:eastAsia="黑体"/>
          <w:sz w:val="36"/>
        </w:rPr>
        <w:t>V1.15 操作说明书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4"/>
        </w:rPr>
        <w:t>软件版本：V1.15</w:t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4"/>
        </w:rPr>
        <w:t>数据库结构：schema v1.6</w:t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4"/>
        </w:rPr>
        <w:t>文档版本：V1.15</w:t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4"/>
        </w:rPr>
        <w:t>编写日期：2026 年 10 月</w:t>
      </w:r>
    </w:p>
    <w:p>
      <w:r>
        <w:br w:type="page"/>
      </w:r>
    </w:p>
    <w:p>
      <w:pPr>
        <w:spacing w:after="280"/>
        <w:ind w:firstLine="0"/>
        <w:jc w:val="center"/>
      </w:pPr>
      <w:r>
        <w:rPr>
          <w:rFonts w:ascii="黑体" w:hAnsi="黑体" w:eastAsia="黑体"/>
          <w:b/>
          <w:sz w:val="36"/>
        </w:rPr>
        <w:t>目　　录</w:t>
      </w:r>
    </w:p>
    <w:p>
      <w:pPr>
        <w:pStyle w:val="Mulu1"/>
      </w:pPr>
      <w:r>
        <w:t xml:space="preserve">1.　</w:t>
      </w:r>
      <w:r>
        <w:t>概述</w:t>
      </w:r>
      <w:r>
        <w:tab/>
      </w:r>
      <w:r>
        <w:t>4</w:t>
      </w:r>
    </w:p>
    <w:p>
      <w:pPr>
        <w:pStyle w:val="Mulu2"/>
      </w:pPr>
      <w:r>
        <w:t xml:space="preserve">1.1.　</w:t>
      </w:r>
      <w:r>
        <w:t>软件用途</w:t>
      </w:r>
      <w:r>
        <w:tab/>
      </w:r>
      <w:r>
        <w:t>4</w:t>
      </w:r>
    </w:p>
    <w:p>
      <w:pPr>
        <w:pStyle w:val="Mulu2"/>
      </w:pPr>
      <w:r>
        <w:t xml:space="preserve">1.2.　</w:t>
      </w:r>
      <w:r>
        <w:t>系统组成</w:t>
      </w:r>
      <w:r>
        <w:tab/>
      </w:r>
      <w:r>
        <w:t>4</w:t>
      </w:r>
    </w:p>
    <w:p>
      <w:pPr>
        <w:pStyle w:val="Mulu2"/>
      </w:pPr>
      <w:r>
        <w:t xml:space="preserve">1.3.　</w:t>
      </w:r>
      <w:r>
        <w:t>运行环境</w:t>
      </w:r>
      <w:r>
        <w:tab/>
      </w:r>
      <w:r>
        <w:t>5</w:t>
      </w:r>
    </w:p>
    <w:p>
      <w:pPr>
        <w:pStyle w:val="Mulu1"/>
      </w:pPr>
      <w:r>
        <w:t xml:space="preserve">2.　</w:t>
      </w:r>
      <w:r>
        <w:t>界面速览</w:t>
      </w:r>
      <w:r>
        <w:tab/>
      </w:r>
      <w:r>
        <w:t>5</w:t>
      </w:r>
    </w:p>
    <w:p>
      <w:pPr>
        <w:pStyle w:val="Mulu2"/>
      </w:pPr>
      <w:r>
        <w:t xml:space="preserve">2.1.　</w:t>
      </w:r>
      <w:r>
        <w:t>界面布局</w:t>
      </w:r>
      <w:r>
        <w:tab/>
      </w:r>
      <w:r>
        <w:t>5</w:t>
      </w:r>
    </w:p>
    <w:p>
      <w:pPr>
        <w:pStyle w:val="Mulu2"/>
      </w:pPr>
      <w:r>
        <w:t xml:space="preserve">2.2.　</w:t>
      </w:r>
      <w:r>
        <w:t>页面列表</w:t>
      </w:r>
      <w:r>
        <w:tab/>
      </w:r>
      <w:r>
        <w:t>7</w:t>
      </w:r>
    </w:p>
    <w:p>
      <w:pPr>
        <w:pStyle w:val="Mulu2"/>
      </w:pPr>
      <w:r>
        <w:t xml:space="preserve">2.3.　</w:t>
      </w:r>
      <w:r>
        <w:t>状态标识与读取方法</w:t>
      </w:r>
      <w:r>
        <w:tab/>
      </w:r>
      <w:r>
        <w:t>7</w:t>
      </w:r>
    </w:p>
    <w:p>
      <w:pPr>
        <w:pStyle w:val="Mulu2"/>
      </w:pPr>
      <w:r>
        <w:t xml:space="preserve">2.4.　</w:t>
      </w:r>
      <w:r>
        <w:t>登录</w:t>
      </w:r>
      <w:r>
        <w:tab/>
      </w:r>
      <w:r>
        <w:t>8</w:t>
      </w:r>
    </w:p>
    <w:p>
      <w:pPr>
        <w:pStyle w:val="Mulu1"/>
      </w:pPr>
      <w:r>
        <w:t xml:space="preserve">3.　</w:t>
      </w:r>
      <w:r>
        <w:t>启动与初始化</w:t>
      </w:r>
      <w:r>
        <w:tab/>
      </w:r>
      <w:r>
        <w:t>9</w:t>
      </w:r>
    </w:p>
    <w:p>
      <w:pPr>
        <w:pStyle w:val="Mulu2"/>
      </w:pPr>
      <w:r>
        <w:t xml:space="preserve">3.1.　</w:t>
      </w:r>
      <w:r>
        <w:t>启动顺序</w:t>
      </w:r>
      <w:r>
        <w:tab/>
      </w:r>
      <w:r>
        <w:t>9</w:t>
      </w:r>
    </w:p>
    <w:p>
      <w:pPr>
        <w:pStyle w:val="Mulu2"/>
      </w:pPr>
      <w:r>
        <w:t xml:space="preserve">3.2.　</w:t>
      </w:r>
      <w:r>
        <w:t>首次部署</w:t>
      </w:r>
      <w:r>
        <w:tab/>
      </w:r>
      <w:r>
        <w:t>9</w:t>
      </w:r>
    </w:p>
    <w:p>
      <w:pPr>
        <w:pStyle w:val="Mulu2"/>
      </w:pPr>
      <w:r>
        <w:t xml:space="preserve">3.3.　</w:t>
      </w:r>
      <w:r>
        <w:t>服务地址与健康检查</w:t>
      </w:r>
      <w:r>
        <w:tab/>
      </w:r>
      <w:r>
        <w:t>10</w:t>
      </w:r>
    </w:p>
    <w:p>
      <w:pPr>
        <w:pStyle w:val="Mulu2"/>
      </w:pPr>
      <w:r>
        <w:t xml:space="preserve">3.4.　</w:t>
      </w:r>
      <w:r>
        <w:t>启动后自检</w:t>
      </w:r>
      <w:r>
        <w:tab/>
      </w:r>
      <w:r>
        <w:t>10</w:t>
      </w:r>
    </w:p>
    <w:p>
      <w:pPr>
        <w:pStyle w:val="Mulu1"/>
      </w:pPr>
      <w:r>
        <w:t xml:space="preserve">4.　</w:t>
      </w:r>
      <w:r>
        <w:t>设备接入配置</w:t>
      </w:r>
      <w:r>
        <w:tab/>
      </w:r>
      <w:r>
        <w:t>11</w:t>
      </w:r>
    </w:p>
    <w:p>
      <w:pPr>
        <w:pStyle w:val="Mulu2"/>
      </w:pPr>
      <w:r>
        <w:t xml:space="preserve">4.1.　</w:t>
      </w:r>
      <w:r>
        <w:t>两大部分与两份输入</w:t>
      </w:r>
      <w:r>
        <w:tab/>
      </w:r>
      <w:r>
        <w:t>11</w:t>
      </w:r>
    </w:p>
    <w:p>
      <w:pPr>
        <w:pStyle w:val="Mulu2"/>
      </w:pPr>
      <w:r>
        <w:t xml:space="preserve">4.2.　</w:t>
      </w:r>
      <w:r>
        <w:t>接入调度主站九步向导</w:t>
      </w:r>
      <w:r>
        <w:tab/>
      </w:r>
      <w:r>
        <w:t>12</w:t>
      </w:r>
    </w:p>
    <w:p>
      <w:pPr>
        <w:pStyle w:val="Mulu2"/>
      </w:pPr>
      <w:r>
        <w:t xml:space="preserve">4.3.　</w:t>
      </w:r>
      <w:r>
        <w:t>九步一览</w:t>
      </w:r>
      <w:r>
        <w:tab/>
      </w:r>
      <w:r>
        <w:t>14</w:t>
      </w:r>
    </w:p>
    <w:p>
      <w:pPr>
        <w:pStyle w:val="Mulu2"/>
      </w:pPr>
      <w:r>
        <w:t xml:space="preserve">4.4.　</w:t>
      </w:r>
      <w:r>
        <w:t>每步的三项内容与本步导出</w:t>
      </w:r>
      <w:r>
        <w:tab/>
      </w:r>
      <w:r>
        <w:t>15</w:t>
      </w:r>
    </w:p>
    <w:p>
      <w:pPr>
        <w:pStyle w:val="Mulu2"/>
      </w:pPr>
      <w:r>
        <w:t xml:space="preserve">4.5.　</w:t>
      </w:r>
      <w:r>
        <w:t>第六步 · 站内配置</w:t>
      </w:r>
      <w:r>
        <w:tab/>
      </w:r>
      <w:r>
        <w:t>16</w:t>
      </w:r>
    </w:p>
    <w:p>
      <w:pPr>
        <w:pStyle w:val="Mulu2"/>
      </w:pPr>
      <w:r>
        <w:t xml:space="preserve">4.6.　</w:t>
      </w:r>
      <w:r>
        <w:t>IOA 转发表的编辑与导入</w:t>
      </w:r>
      <w:r>
        <w:tab/>
      </w:r>
      <w:r>
        <w:t>19</w:t>
      </w:r>
    </w:p>
    <w:p>
      <w:pPr>
        <w:pStyle w:val="Mulu2"/>
      </w:pPr>
      <w:r>
        <w:t xml:space="preserve">4.7.　</w:t>
      </w:r>
      <w:r>
        <w:t>站内设备接入 · ① 接入参数</w:t>
      </w:r>
      <w:r>
        <w:tab/>
      </w:r>
      <w:r>
        <w:t>21</w:t>
      </w:r>
    </w:p>
    <w:p>
      <w:pPr>
        <w:pStyle w:val="Mulu2"/>
      </w:pPr>
      <w:r>
        <w:t xml:space="preserve">4.8.　</w:t>
      </w:r>
      <w:r>
        <w:t>站内设备接入 · ② 点表</w:t>
      </w:r>
      <w:r>
        <w:tab/>
      </w:r>
      <w:r>
        <w:t>21</w:t>
      </w:r>
    </w:p>
    <w:p>
      <w:pPr>
        <w:pStyle w:val="Mulu2"/>
      </w:pPr>
      <w:r>
        <w:t xml:space="preserve">4.9.　</w:t>
      </w:r>
      <w:r>
        <w:t>切换真实 / 模拟输入源</w:t>
      </w:r>
      <w:r>
        <w:tab/>
      </w:r>
      <w:r>
        <w:t>22</w:t>
      </w:r>
    </w:p>
    <w:p>
      <w:pPr>
        <w:pStyle w:val="Mulu2"/>
      </w:pPr>
      <w:r>
        <w:t xml:space="preserve">4.10.　</w:t>
      </w:r>
      <w:r>
        <w:t>两端组合的提示</w:t>
      </w:r>
      <w:r>
        <w:tab/>
      </w:r>
      <w:r>
        <w:t>23</w:t>
      </w:r>
    </w:p>
    <w:p>
      <w:pPr>
        <w:pStyle w:val="Mulu1"/>
      </w:pPr>
      <w:r>
        <w:t xml:space="preserve">5.　</w:t>
      </w:r>
      <w:r>
        <w:t>模拟源与联调</w:t>
      </w:r>
      <w:r>
        <w:tab/>
      </w:r>
      <w:r>
        <w:t>23</w:t>
      </w:r>
    </w:p>
    <w:p>
      <w:pPr>
        <w:pStyle w:val="Mulu2"/>
      </w:pPr>
      <w:r>
        <w:t xml:space="preserve">5.1.　</w:t>
      </w:r>
      <w:r>
        <w:t>单一面板管理两端</w:t>
      </w:r>
      <w:r>
        <w:tab/>
      </w:r>
      <w:r>
        <w:t>24</w:t>
      </w:r>
    </w:p>
    <w:p>
      <w:pPr>
        <w:pStyle w:val="Mulu2"/>
      </w:pPr>
      <w:r>
        <w:t xml:space="preserve">5.2.　</w:t>
      </w:r>
      <w:r>
        <w:t>四项操作</w:t>
      </w:r>
      <w:r>
        <w:tab/>
      </w:r>
      <w:r>
        <w:t>25</w:t>
      </w:r>
    </w:p>
    <w:p>
      <w:pPr>
        <w:pStyle w:val="Mulu2"/>
      </w:pPr>
      <w:r>
        <w:t xml:space="preserve">5.3.　</w:t>
      </w:r>
      <w:r>
        <w:t>操作反馈与执行方式</w:t>
      </w:r>
      <w:r>
        <w:tab/>
      </w:r>
      <w:r>
        <w:t>25</w:t>
      </w:r>
    </w:p>
    <w:p>
      <w:pPr>
        <w:pStyle w:val="Mulu2"/>
      </w:pPr>
      <w:r>
        <w:t xml:space="preserve">5.4.　</w:t>
      </w:r>
      <w:r>
        <w:t>链路所需的五个进程</w:t>
      </w:r>
      <w:r>
        <w:tab/>
      </w:r>
      <w:r>
        <w:t>26</w:t>
      </w:r>
    </w:p>
    <w:p>
      <w:pPr>
        <w:pStyle w:val="Mulu2"/>
      </w:pPr>
      <w:r>
        <w:t xml:space="preserve">5.5.　</w:t>
      </w:r>
      <w:r>
        <w:t>上端上送数值的来源</w:t>
      </w:r>
      <w:r>
        <w:tab/>
      </w:r>
      <w:r>
        <w:t>27</w:t>
      </w:r>
    </w:p>
    <w:p>
      <w:pPr>
        <w:pStyle w:val="Mulu2"/>
      </w:pPr>
      <w:r>
        <w:t xml:space="preserve">5.6.　</w:t>
      </w:r>
      <w:r>
        <w:t>入库中断的自愈</w:t>
      </w:r>
      <w:r>
        <w:tab/>
      </w:r>
      <w:r>
        <w:t>27</w:t>
      </w:r>
    </w:p>
    <w:p>
      <w:pPr>
        <w:pStyle w:val="Mulu2"/>
      </w:pPr>
      <w:r>
        <w:t xml:space="preserve">5.7.　</w:t>
      </w:r>
      <w:r>
        <w:t>计划表与进程表</w:t>
      </w:r>
      <w:r>
        <w:tab/>
      </w:r>
      <w:r>
        <w:t>28</w:t>
      </w:r>
    </w:p>
    <w:p>
      <w:pPr>
        <w:pStyle w:val="Mulu2"/>
      </w:pPr>
      <w:r>
        <w:t xml:space="preserve">5.8.　</w:t>
      </w:r>
      <w:r>
        <w:t>已知边界</w:t>
      </w:r>
      <w:r>
        <w:tab/>
      </w:r>
      <w:r>
        <w:t>29</w:t>
      </w:r>
    </w:p>
    <w:p>
      <w:pPr>
        <w:pStyle w:val="Mulu1"/>
      </w:pPr>
      <w:r>
        <w:t xml:space="preserve">6.　</w:t>
      </w:r>
      <w:r>
        <w:t>查看实时数据</w:t>
      </w:r>
      <w:r>
        <w:tab/>
      </w:r>
      <w:r>
        <w:t>29</w:t>
      </w:r>
    </w:p>
    <w:p>
      <w:pPr>
        <w:pStyle w:val="Mulu2"/>
      </w:pPr>
      <w:r>
        <w:t xml:space="preserve">6.1.　</w:t>
      </w:r>
      <w:r>
        <w:t>总览</w:t>
      </w:r>
      <w:r>
        <w:tab/>
      </w:r>
      <w:r>
        <w:t>29</w:t>
      </w:r>
    </w:p>
    <w:p>
      <w:pPr>
        <w:pStyle w:val="Mulu2"/>
      </w:pPr>
      <w:r>
        <w:t xml:space="preserve">6.2.　</w:t>
      </w:r>
      <w:r>
        <w:t>实时监控</w:t>
      </w:r>
      <w:r>
        <w:tab/>
      </w:r>
      <w:r>
        <w:t>30</w:t>
      </w:r>
    </w:p>
    <w:p>
      <w:pPr>
        <w:pStyle w:val="Mulu2"/>
      </w:pPr>
      <w:r>
        <w:t xml:space="preserve">6.3.　</w:t>
      </w:r>
      <w:r>
        <w:t>历史曲线</w:t>
      </w:r>
      <w:r>
        <w:tab/>
      </w:r>
      <w:r>
        <w:t>32</w:t>
      </w:r>
    </w:p>
    <w:p>
      <w:pPr>
        <w:pStyle w:val="Mulu2"/>
      </w:pPr>
      <w:r>
        <w:t xml:space="preserve">6.4.　</w:t>
      </w:r>
      <w:r>
        <w:t>装配视图</w:t>
      </w:r>
      <w:r>
        <w:tab/>
      </w:r>
      <w:r>
        <w:t>33</w:t>
      </w:r>
    </w:p>
    <w:p>
      <w:pPr>
        <w:pStyle w:val="Mulu2"/>
      </w:pPr>
      <w:r>
        <w:t xml:space="preserve">6.5.　</w:t>
      </w:r>
      <w:r>
        <w:t>一次接线图</w:t>
      </w:r>
      <w:r>
        <w:tab/>
      </w:r>
      <w:r>
        <w:t>34</w:t>
      </w:r>
    </w:p>
    <w:p>
      <w:pPr>
        <w:pStyle w:val="Mulu1"/>
      </w:pPr>
      <w:r>
        <w:t xml:space="preserve">7.　</w:t>
      </w:r>
      <w:r>
        <w:t>告警中心</w:t>
      </w:r>
      <w:r>
        <w:tab/>
      </w:r>
      <w:r>
        <w:t>35</w:t>
      </w:r>
    </w:p>
    <w:p>
      <w:pPr>
        <w:pStyle w:val="Mulu2"/>
      </w:pPr>
      <w:r>
        <w:t xml:space="preserve">7.1.　</w:t>
      </w:r>
      <w:r>
        <w:t>筛选</w:t>
      </w:r>
      <w:r>
        <w:tab/>
      </w:r>
      <w:r>
        <w:t>35</w:t>
      </w:r>
    </w:p>
    <w:p>
      <w:pPr>
        <w:pStyle w:val="Mulu2"/>
      </w:pPr>
      <w:r>
        <w:t xml:space="preserve">7.2.　</w:t>
      </w:r>
      <w:r>
        <w:t>24 小时分布</w:t>
      </w:r>
      <w:r>
        <w:tab/>
      </w:r>
      <w:r>
        <w:t>36</w:t>
      </w:r>
    </w:p>
    <w:p>
      <w:pPr>
        <w:pStyle w:val="Mulu2"/>
      </w:pPr>
      <w:r>
        <w:t xml:space="preserve">7.3.　</w:t>
      </w:r>
      <w:r>
        <w:t>告警明细</w:t>
      </w:r>
      <w:r>
        <w:tab/>
      </w:r>
      <w:r>
        <w:t>36</w:t>
      </w:r>
    </w:p>
    <w:p>
      <w:pPr>
        <w:pStyle w:val="Mulu2"/>
      </w:pPr>
      <w:r>
        <w:t xml:space="preserve">7.4.　</w:t>
      </w:r>
      <w:r>
        <w:t>告警等级与来源</w:t>
      </w:r>
      <w:r>
        <w:tab/>
      </w:r>
      <w:r>
        <w:t>37</w:t>
      </w:r>
    </w:p>
    <w:p>
      <w:pPr>
        <w:pStyle w:val="Mulu1"/>
      </w:pPr>
      <w:r>
        <w:t xml:space="preserve">8.　</w:t>
      </w:r>
      <w:r>
        <w:t>策略配置与指令下发</w:t>
      </w:r>
      <w:r>
        <w:tab/>
      </w:r>
      <w:r>
        <w:t>38</w:t>
      </w:r>
    </w:p>
    <w:p>
      <w:pPr>
        <w:pStyle w:val="Mulu2"/>
      </w:pPr>
      <w:r>
        <w:t xml:space="preserve">8.1.　</w:t>
      </w:r>
      <w:r>
        <w:t>九个策略与优先级</w:t>
      </w:r>
      <w:r>
        <w:tab/>
      </w:r>
      <w:r>
        <w:t>38</w:t>
      </w:r>
    </w:p>
    <w:p>
      <w:pPr>
        <w:pStyle w:val="Mulu2"/>
      </w:pPr>
      <w:r>
        <w:t xml:space="preserve">8.2.　</w:t>
      </w:r>
      <w:r>
        <w:t>启停与参数</w:t>
      </w:r>
      <w:r>
        <w:tab/>
      </w:r>
      <w:r>
        <w:t>39</w:t>
      </w:r>
    </w:p>
    <w:p>
      <w:pPr>
        <w:pStyle w:val="Mulu2"/>
      </w:pPr>
      <w:r>
        <w:t xml:space="preserve">8.3.　</w:t>
      </w:r>
      <w:r>
        <w:t>运行模式切换</w:t>
      </w:r>
      <w:r>
        <w:tab/>
      </w:r>
      <w:r>
        <w:t>39</w:t>
      </w:r>
    </w:p>
    <w:p>
      <w:pPr>
        <w:pStyle w:val="Mulu2"/>
      </w:pPr>
      <w:r>
        <w:t xml:space="preserve">8.4.　</w:t>
      </w:r>
      <w:r>
        <w:t>指令下发</w:t>
      </w:r>
      <w:r>
        <w:tab/>
      </w:r>
      <w:r>
        <w:t>39</w:t>
      </w:r>
    </w:p>
    <w:p>
      <w:pPr>
        <w:pStyle w:val="Mulu1"/>
      </w:pPr>
      <w:r>
        <w:t xml:space="preserve">9.　</w:t>
      </w:r>
      <w:r>
        <w:t>收益分析与报表</w:t>
      </w:r>
      <w:r>
        <w:tab/>
      </w:r>
      <w:r>
        <w:t>40</w:t>
      </w:r>
    </w:p>
    <w:p>
      <w:pPr>
        <w:pStyle w:val="Mulu2"/>
      </w:pPr>
      <w:r>
        <w:t xml:space="preserve">9.1.　</w:t>
      </w:r>
      <w:r>
        <w:t>收益分析</w:t>
      </w:r>
      <w:r>
        <w:tab/>
      </w:r>
      <w:r>
        <w:t>40</w:t>
      </w:r>
    </w:p>
    <w:p>
      <w:pPr>
        <w:pStyle w:val="Mulu2"/>
      </w:pPr>
      <w:r>
        <w:t xml:space="preserve">9.2.　</w:t>
      </w:r>
      <w:r>
        <w:t>报表系统</w:t>
      </w:r>
      <w:r>
        <w:tab/>
      </w:r>
      <w:r>
        <w:t>41</w:t>
      </w:r>
    </w:p>
    <w:p>
      <w:pPr>
        <w:pStyle w:val="Mulu1"/>
      </w:pPr>
      <w:r>
        <w:t xml:space="preserve">10.　</w:t>
      </w:r>
      <w:r>
        <w:t>用户与权限</w:t>
      </w:r>
      <w:r>
        <w:tab/>
      </w:r>
      <w:r>
        <w:t>42</w:t>
      </w:r>
    </w:p>
    <w:p>
      <w:pPr>
        <w:pStyle w:val="Mulu2"/>
      </w:pPr>
      <w:r>
        <w:t xml:space="preserve">10.1.　</w:t>
      </w:r>
      <w:r>
        <w:t>三种角色</w:t>
      </w:r>
      <w:r>
        <w:tab/>
      </w:r>
      <w:r>
        <w:t>42</w:t>
      </w:r>
    </w:p>
    <w:p>
      <w:pPr>
        <w:pStyle w:val="Mulu2"/>
      </w:pPr>
      <w:r>
        <w:t xml:space="preserve">10.2.　</w:t>
      </w:r>
      <w:r>
        <w:t>新建用户</w:t>
      </w:r>
      <w:r>
        <w:tab/>
      </w:r>
      <w:r>
        <w:t>43</w:t>
      </w:r>
    </w:p>
    <w:p>
      <w:pPr>
        <w:pStyle w:val="Mulu2"/>
      </w:pPr>
      <w:r>
        <w:t xml:space="preserve">10.3.　</w:t>
      </w:r>
      <w:r>
        <w:t>操作审计</w:t>
      </w:r>
      <w:r>
        <w:tab/>
      </w:r>
      <w:r>
        <w:t>43</w:t>
      </w:r>
    </w:p>
    <w:p>
      <w:pPr>
        <w:pStyle w:val="Mulu1"/>
      </w:pPr>
      <w:r>
        <w:t xml:space="preserve">11.　</w:t>
      </w:r>
      <w:r>
        <w:t>日常维护与故障处置</w:t>
      </w:r>
      <w:r>
        <w:tab/>
      </w:r>
      <w:r>
        <w:t>43</w:t>
      </w:r>
    </w:p>
    <w:p>
      <w:pPr>
        <w:pStyle w:val="Mulu2"/>
      </w:pPr>
      <w:r>
        <w:t xml:space="preserve">11.1.　</w:t>
      </w:r>
      <w:r>
        <w:t>页脚信息读取</w:t>
      </w:r>
      <w:r>
        <w:tab/>
      </w:r>
      <w:r>
        <w:t>43</w:t>
      </w:r>
    </w:p>
    <w:p>
      <w:pPr>
        <w:pStyle w:val="Mulu2"/>
      </w:pPr>
      <w:r>
        <w:t xml:space="preserve">11.2.　</w:t>
      </w:r>
      <w:r>
        <w:t>采集停止时的表现</w:t>
      </w:r>
      <w:r>
        <w:tab/>
      </w:r>
      <w:r>
        <w:t>43</w:t>
      </w:r>
    </w:p>
    <w:p>
      <w:pPr>
        <w:pStyle w:val="Mulu2"/>
      </w:pPr>
      <w:r>
        <w:t xml:space="preserve">11.3.　</w:t>
      </w:r>
      <w:r>
        <w:t>自检脚本</w:t>
      </w:r>
      <w:r>
        <w:tab/>
      </w:r>
      <w:r>
        <w:t>44</w:t>
      </w:r>
    </w:p>
    <w:p>
      <w:pPr>
        <w:pStyle w:val="Mulu2"/>
      </w:pPr>
      <w:r>
        <w:t xml:space="preserve">11.4.　</w:t>
      </w:r>
      <w:r>
        <w:t>常见问题处置</w:t>
      </w:r>
      <w:r>
        <w:tab/>
      </w:r>
      <w:r>
        <w:t>44</w:t>
      </w:r>
    </w:p>
    <w:p>
      <w:pPr>
        <w:pStyle w:val="Mulu1"/>
      </w:pPr>
      <w:r>
        <w:t>附录 1　接口清单</w:t>
      </w:r>
      <w:r>
        <w:tab/>
      </w:r>
      <w:r>
        <w:t>45</w:t>
      </w:r>
    </w:p>
    <w:p>
      <w:pPr>
        <w:pStyle w:val="Mulu1"/>
      </w:pPr>
      <w:r>
        <w:t>附录 2　接入配置的落盘文件</w:t>
      </w:r>
      <w:r>
        <w:tab/>
      </w:r>
      <w:r>
        <w:t>47</w:t>
      </w:r>
    </w:p>
    <w:p>
      <w:pPr>
        <w:pStyle w:val="Mulu1"/>
      </w:pPr>
      <w:r>
        <w:t>附录 3　术语与名称对应</w:t>
      </w:r>
      <w:r>
        <w:tab/>
      </w:r>
      <w:r>
        <w:t>48</w:t>
      </w:r>
    </w:p>
    <w:p>
      <w:pPr>
        <w:pStyle w:val="Mulu1"/>
      </w:pPr>
      <w:r>
        <w:t>附录 4　版本与文档</w:t>
      </w:r>
      <w:r>
        <w:tab/>
      </w:r>
      <w:r>
        <w:t>49</w:t>
      </w:r>
    </w:p>
    <w:p>
      <w:r>
        <w:br w:type="page"/>
      </w:r>
    </w:p>
    <w:p>
      <w:pPr>
        <w:pStyle w:val="2"/>
      </w:pPr>
      <w:r>
        <w:t>概述</w:t>
      </w:r>
    </w:p>
    <w:p>
      <w:pPr>
        <w:pStyle w:val="3"/>
      </w:pPr>
      <w:r>
        <w:t>软件用途</w:t>
      </w:r>
    </w:p>
    <w:p>
      <w:pPr/>
      <w:r>
        <w:t>工商业储能 EMS 运行监控平台（以下简称「本平台」）是站级能量管理系统的运行监控与人机交互软件。站内防逆流、光伏出力平抑、需量管理三个实时控制器及优化调度器产生的每一拍计算结果，均由本平台完成落库、接口发布与界面呈现，使运行人员能够掌握当前运行工况、当日经济效益与安全越限情况。</w:t>
      </w:r>
    </w:p>
    <w:p>
      <w:pPr/>
      <w:r>
        <w:t>本平台不承担控制运算，不修改任何控制律，仅承担三项职责：① 配置站内设备与调度主站两个方向的接入参数；② 将采集到的运行数据写入数据库，并通过 REST 接口对外提供；③ 以图形界面呈现运行数据、告警、策略与经济性指标。该职责划分与系统「换介质不改算法」的分层原则一致：控制层不访问数据库，平台层不访问设备寄存器。</w:t>
      </w:r>
    </w:p>
    <w:p>
      <w:pPr/>
      <w:r>
        <w:rPr>
          <w:b/>
        </w:rPr>
        <w:t>注意：</w:t>
      </w:r>
      <w:r>
        <w:t>本平台面向运行与调试人员，不面向算法研发人员。离线批量仿真（日 / 周 / 月）的发起入口保留于命令行与接口层，界面不提供数据集选择器：界面所显示数据的性质由后端依据当前引擎模式与采集状态确定，不由用户指定。</w:t>
      </w:r>
    </w:p>
    <w:p>
      <w:pPr>
        <w:pStyle w:val="3"/>
      </w:pPr>
      <w:r>
        <w:t>系统组成</w:t>
      </w:r>
    </w:p>
    <w:p>
      <w:pPr/>
      <w:r>
        <w:t>本平台的完整链路由六个运行体构成。平台后端常驻运行，其余各体按需启动，由平台统一编排（详见第五章）。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680"/>
        <w:gridCol w:w="1456"/>
        <w:gridCol w:w="3697"/>
        <w:gridCol w:w="2912"/>
      </w:tblGrid>
      <w:tr>
        <w:trPr>
          <w:tblHeader w:val="true"/>
          <w:cantSplit w:val="true"/>
        </w:trPr>
        <w:tc>
          <w:tcPr>
            <w:tcW w:type="dxa" w:w="168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组成</w:t>
            </w:r>
          </w:p>
        </w:tc>
        <w:tc>
          <w:tcPr>
            <w:tcW w:type="dxa" w:w="145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所在目录</w:t>
            </w:r>
          </w:p>
        </w:tc>
        <w:tc>
          <w:tcPr>
            <w:tcW w:type="dxa" w:w="3697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职责</w:t>
            </w:r>
          </w:p>
        </w:tc>
        <w:tc>
          <w:tcPr>
            <w:tcW w:type="dxa" w:w="2912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进程 / 入口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站内设备采集</w:t>
            </w:r>
          </w:p>
        </w:tc>
        <w:tc>
          <w:tcPr>
            <w:tcW w:type="dxa" w:w="145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07/</w:t>
            </w:r>
          </w:p>
        </w:tc>
        <w:tc>
          <w:tcPr>
            <w:tcW w:type="dxa" w:w="3697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Modbus TCP 主站，按周期轮询站内装置，写入实时库与实录 CSV 文件</w:t>
            </w:r>
          </w:p>
        </w:tc>
        <w:tc>
          <w:tcPr>
            <w:tcW w:type="dxa" w:w="2912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main_field.exe --device modbus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实时库初始化器</w:t>
            </w:r>
          </w:p>
        </w:tc>
        <w:tc>
          <w:tcPr>
            <w:tcW w:type="dxa" w:w="145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11/</w:t>
            </w:r>
          </w:p>
        </w:tc>
        <w:tc>
          <w:tcPr>
            <w:tcW w:type="dxa" w:w="369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创建 RT_DB 共享内存段，供采集器与网关共用</w:t>
            </w:r>
          </w:p>
        </w:tc>
        <w:tc>
          <w:tcPr>
            <w:tcW w:type="dxa" w:w="2912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rtdb_initializer.exe（常驻）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设备替身</w:t>
            </w:r>
          </w:p>
        </w:tc>
        <w:tc>
          <w:tcPr>
            <w:tcW w:type="dxa" w:w="145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13/sim/</w:t>
            </w:r>
          </w:p>
        </w:tc>
        <w:tc>
          <w:tcPr>
            <w:tcW w:type="dxa" w:w="369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无真实装置时模拟 PCS、BMS、电表等从站，用于联调</w:t>
            </w:r>
          </w:p>
        </w:tc>
        <w:tc>
          <w:tcPr>
            <w:tcW w:type="dxa" w:w="2912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modbus_slave.py --port N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调度主站网关</w:t>
            </w:r>
          </w:p>
        </w:tc>
        <w:tc>
          <w:tcPr>
            <w:tcW w:type="dxa" w:w="145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P3/</w:t>
            </w:r>
          </w:p>
        </w:tc>
        <w:tc>
          <w:tcPr>
            <w:tcW w:type="dxa" w:w="369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 60870-5-104 从站，在监听端口等待上级调度连接</w:t>
            </w:r>
          </w:p>
        </w:tc>
        <w:tc>
          <w:tcPr>
            <w:tcW w:type="dxa" w:w="2912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iec104_gateway.exe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模拟调度主站</w:t>
            </w:r>
          </w:p>
        </w:tc>
        <w:tc>
          <w:tcPr>
            <w:tcW w:type="dxa" w:w="145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P3/build/</w:t>
            </w:r>
          </w:p>
        </w:tc>
        <w:tc>
          <w:tcPr>
            <w:tcW w:type="dxa" w:w="369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模拟上级调度，连接本机网关读取上送数据，用于链路自检</w:t>
            </w:r>
          </w:p>
        </w:tc>
        <w:tc>
          <w:tcPr>
            <w:tcW w:type="dxa" w:w="2912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iec104_master.exe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平台后端</w:t>
            </w:r>
          </w:p>
        </w:tc>
        <w:tc>
          <w:tcPr>
            <w:tcW w:type="dxa" w:w="145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14/</w:t>
            </w:r>
          </w:p>
        </w:tc>
        <w:tc>
          <w:tcPr>
            <w:tcW w:type="dxa" w:w="369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SQLite 数据库、REST 接口与静态页托管</w:t>
            </w:r>
          </w:p>
        </w:tc>
        <w:tc>
          <w:tcPr>
            <w:tcW w:type="dxa" w:w="2912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server.py（默认 8765）</w:t>
            </w:r>
          </w:p>
        </w:tc>
      </w:tr>
      <w:tr>
        <w:trPr>
          <w:cantSplit w:val="true"/>
        </w:trPr>
        <w:tc>
          <w:tcPr>
            <w:tcW w:type="dxa" w:w="16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运行界面</w:t>
            </w:r>
          </w:p>
        </w:tc>
        <w:tc>
          <w:tcPr>
            <w:tcW w:type="dxa" w:w="145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15/</w:t>
            </w:r>
          </w:p>
        </w:tc>
        <w:tc>
          <w:tcPr>
            <w:tcW w:type="dxa" w:w="369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共十一个页面，无第三方依赖、无构建步骤</w:t>
            </w:r>
          </w:p>
        </w:tc>
        <w:tc>
          <w:tcPr>
            <w:tcW w:type="dxa" w:w="2912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由平台后端托管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其中站内设备采集与调度主站网关是本平台仅有的两个对外通道：对上级调度，本平台为被连接的从站；对站内设备，本平台为主动轮询的主站。两侧的配置入口均位于设备管理页（第四章）。</w:t>
      </w:r>
    </w:p>
    <w:p>
      <w:pPr>
        <w:pStyle w:val="3"/>
      </w:pPr>
      <w:r>
        <w:t>运行环境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473"/>
        <w:gridCol w:w="2946"/>
        <w:gridCol w:w="5326"/>
      </w:tblGrid>
      <w:tr>
        <w:trPr>
          <w:tblHeader w:val="true"/>
          <w:cantSplit w:val="true"/>
        </w:trPr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项目</w:t>
            </w:r>
          </w:p>
        </w:tc>
        <w:tc>
          <w:tcPr>
            <w:tcW w:type="dxa" w:w="294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要求</w:t>
            </w:r>
          </w:p>
        </w:tc>
        <w:tc>
          <w:tcPr>
            <w:tcW w:type="dxa" w:w="53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操作系统</w:t>
            </w:r>
          </w:p>
        </w:tc>
        <w:tc>
          <w:tcPr>
            <w:tcW w:type="dxa" w:w="294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Windows 10 / 11 x64</w:t>
            </w:r>
          </w:p>
        </w:tc>
        <w:tc>
          <w:tcPr>
            <w:tcW w:type="dxa" w:w="53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控制器可移植至 Linux；HTTP 服务与界面当前仅在 Windows 平台完成验证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Python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3.11 及以上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平台后端仅使用标准库（sqlite3 / http.server），无需安装第三方包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浏览器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Chrome / Edge 等现代浏览器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界面为原生 ES6 与手写 SVG，无构建步骤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网络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本机回环地址 127.0.0.1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后端默认仅监听本机；对外发布前须增设 TLS 与反向代理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磁盘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约 200 MB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含数据库、实录与仿真产物；时序数据当前全量保留，尚未实施归档策略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本平台当前不具备真实设备数据源：数据库中的现场量来自设备替身闭环或历史仿真产物。该情形属已知边界，非软件缺陷。接入真实设备后仅需替换写入端，表结构与接口保持不变。</w:t>
      </w:r>
    </w:p>
    <w:p>
      <w:pPr>
        <w:pStyle w:val="2"/>
      </w:pPr>
      <w:r>
        <w:t>界面速览</w:t>
      </w:r>
    </w:p>
    <w:p>
      <w:pPr>
        <w:pStyle w:val="3"/>
      </w:pPr>
      <w:r>
        <w:t>界面布局</w:t>
      </w:r>
    </w:p>
    <w:p>
      <w:pPr/>
      <w:r>
        <w:t>界面采用四分区布局，操作路径固定：左侧选择页面，顶部切换运行模式，右侧查看数据，底部确认数据来源。</w:t>
      </w:r>
    </w:p>
    <w:p>
      <w:pPr>
        <w:ind w:left="420" w:firstLine="0"/>
      </w:pPr>
      <w:r>
        <w:t xml:space="preserve">· </w:t>
      </w:r>
      <w:r>
        <w:rPr>
          <w:b/>
        </w:rPr>
        <w:t>顶部</w:t>
      </w:r>
      <w:r>
        <w:t>：搜索框（输入页面名称后回车跳转）与运行模式切换（峰谷套利 / 削峰填谷 / 辅助服务 / 保电备电）。</w:t>
      </w:r>
    </w:p>
    <w:p>
      <w:pPr>
        <w:ind w:left="420" w:firstLine="0"/>
      </w:pPr>
      <w:r>
        <w:t xml:space="preserve">· </w:t>
      </w:r>
      <w:r>
        <w:rPr>
          <w:b/>
        </w:rPr>
        <w:t>左侧</w:t>
      </w:r>
      <w:r>
        <w:t>：模块导航，共十一个页面，按当前账号角色过滤；只读账号不显示「用户与权限」。</w:t>
      </w:r>
    </w:p>
    <w:p>
      <w:pPr>
        <w:ind w:left="420" w:firstLine="0"/>
      </w:pPr>
      <w:r>
        <w:t xml:space="preserve">· </w:t>
      </w:r>
      <w:r>
        <w:rPr>
          <w:b/>
        </w:rPr>
        <w:t>右侧</w:t>
      </w:r>
      <w:r>
        <w:t>：页面内容区，各页独立滚动；返回页面时恢复上次的选择状态（如实时监控页的时刻）。</w:t>
      </w:r>
    </w:p>
    <w:p>
      <w:pPr>
        <w:ind w:left="420" w:firstLine="0"/>
      </w:pPr>
      <w:r>
        <w:t xml:space="preserve">· </w:t>
      </w:r>
      <w:r>
        <w:rPr>
          <w:b/>
        </w:rPr>
        <w:t>底部</w:t>
      </w:r>
      <w:r>
        <w:t>：数据源性质、当前数据集、采集来源、schema 版本与导入时间，用于说明当前页面数据的来源。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2-1　总览页：左侧导航、顶栏运行模式、右侧内容区、底部数据源说明</w:t>
      </w:r>
    </w:p>
    <w:p>
      <w:pPr/>
      <w:r>
        <w:t>自动刷新的页面在标题右侧显示「每 5 s 自动刷新 · 更新于 hh:mm:ss」。策略配置、设备管理、用户与权限三页不执行自动刷新：这些页面包含输入框与开关控件，定时重渲染将清除正在录入的内容。</w:t>
      </w:r>
    </w:p>
    <w:p>
      <w:pPr>
        <w:pStyle w:val="3"/>
      </w:pPr>
      <w:r>
        <w:t>页面列表</w:t>
      </w:r>
    </w:p>
    <w:p>
      <w:pPr/>
      <w:r>
        <w:t>本平台共十一个页面，各页用途与主要数据来源如下：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134"/>
        <w:gridCol w:w="1643"/>
        <w:gridCol w:w="2550"/>
        <w:gridCol w:w="4419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序</w:t>
            </w:r>
          </w:p>
        </w:tc>
        <w:tc>
          <w:tcPr>
            <w:tcW w:type="dxa" w:w="164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页面</w:t>
            </w:r>
          </w:p>
        </w:tc>
        <w:tc>
          <w:tcPr>
            <w:tcW w:type="dxa" w:w="255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主要数据源</w:t>
            </w:r>
          </w:p>
        </w:tc>
        <w:tc>
          <w:tcPr>
            <w:tcW w:type="dxa" w:w="441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主要用途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1643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总览</w:t>
            </w:r>
          </w:p>
        </w:tc>
        <w:tc>
          <w:tcPr>
            <w:tcW w:type="dxa" w:w="255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overview</w:t>
            </w:r>
          </w:p>
        </w:tc>
        <w:tc>
          <w:tcPr>
            <w:tcW w:type="dxa" w:w="441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四路功率、SOC、当日净收益、系统状态、能量流、本拍闭环、安全红线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2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实时监控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realtime + series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指定时刻的设备快照与储能闭环，可拖动时间轴逐拍回看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3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历史曲线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series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七条曲线多选对照与 SOC 专图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4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告警中心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alarms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等级与来源双维筛选、分类统计、24 h 分布、告警明细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5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策略配置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strategies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九个策略的启停与参数、仲裁优先级、指令下发演示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6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收益分析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economics + energy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净收益构成、节省率、日 / 周 / 月对比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7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报表系统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report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日 / 周 / 月聚合、导出 CSV、打印或存为 PDF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8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装配视图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realtime + 装配数据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柜、舱、部件的爆炸图，点击部件查看其全部测点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9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一次接线图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overview + realtime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十二个节点的电气连接关系与当前功率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10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设备管理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devices + access + 转发表 + access-draft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上端九步向导入口、下端接入参数与点表、模拟源控制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11</w:t>
            </w:r>
          </w:p>
        </w:tc>
        <w:tc>
          <w:tcPr>
            <w:tcW w:type="dxa" w:w="164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用户与权限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users + audit</w:t>
            </w:r>
          </w:p>
        </w:tc>
        <w:tc>
          <w:tcPr>
            <w:tcW w:type="dxa" w:w="44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账号管理、新建用户、最近一百条操作审计（仅管理员可见）</w:t>
            </w:r>
          </w:p>
        </w:tc>
      </w:tr>
    </w:tbl>
    <w:p>
      <w:pPr>
        <w:spacing w:after="80" w:line="240" w:lineRule="auto"/>
        <w:ind w:firstLine="0"/>
      </w:pPr>
    </w:p>
    <w:p>
      <w:pPr>
        <w:pStyle w:val="3"/>
      </w:pPr>
      <w:r>
        <w:t>状态标识与读取方法</w:t>
      </w:r>
    </w:p>
    <w:p>
      <w:pPr/>
      <w:r>
        <w:t>界面通过三类颜色、两种徽章与页脚信息表达数据性质，读数规则固定如下：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473"/>
        <w:gridCol w:w="2946"/>
        <w:gridCol w:w="5326"/>
      </w:tblGrid>
      <w:tr>
        <w:trPr>
          <w:tblHeader w:val="true"/>
          <w:cantSplit w:val="true"/>
        </w:trPr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位置</w:t>
            </w:r>
          </w:p>
        </w:tc>
        <w:tc>
          <w:tcPr>
            <w:tcW w:type="dxa" w:w="294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标识</w:t>
            </w:r>
          </w:p>
        </w:tc>
        <w:tc>
          <w:tcPr>
            <w:tcW w:type="dxa" w:w="53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页脚左侧</w:t>
            </w:r>
          </w:p>
        </w:tc>
        <w:tc>
          <w:tcPr>
            <w:tcW w:type="dxa" w:w="294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模型源 / 现场设备源 / 历史库</w:t>
            </w:r>
          </w:p>
        </w:tc>
        <w:tc>
          <w:tcPr>
            <w:tcW w:type="dxa" w:w="53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当前页面数据的性质；模型源指仿真或替身，不代表现场实测值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页脚右侧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schema v1.6 · 平台层 14/ · 入库于 …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数据库结构版本与最近一次导入时间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页面标题右侧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每 5 s 自动刷新 · 更新于 hh:mm:ss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最近一次前端刷新时间；采集中断时改为「采集已停止 · 数据停在 hh:mm:ss」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装配视图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绿色 / 灰色 / 红色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具备实时数据源 / 无实时数据源（待接入）/ 取数失败或告警；灰色表示客观状态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设备管理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真实源 / 模拟源 / 未配置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各设备对端形态的三态标识，取值来自后端逐台明细，不由前端推断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实时监控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实时数据 / 离线数据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当前查看数据集的性质，与数据集名称、样本量、时刻口径同处一张说明卡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模拟源面板</w:t>
            </w:r>
          </w:p>
        </w:tc>
        <w:tc>
          <w:tcPr>
            <w:tcW w:type="dxa" w:w="294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在采 / 停滞 / 失败</w:t>
            </w:r>
          </w:p>
        </w:tc>
        <w:tc>
          <w:tcPr>
            <w:tcW w:type="dxa" w:w="53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绿 / 黄 / 红；停滞为写库可恢复故障正在重试，与采集进程已退出区分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界面不提供「运行模式 / 仿真模式」开关，亦不提供数据集选择器。当前显示的数据集由后端依据引擎模式与采集状态确定，界面仅如实标注数据来源。</w:t>
      </w:r>
    </w:p>
    <w:p>
      <w:pPr>
        <w:pStyle w:val="3"/>
      </w:pPr>
      <w:r>
        <w:t>登录</w:t>
      </w:r>
    </w:p>
    <w:p>
      <w:pPr/>
      <w:r>
        <w:t>在浏览器中访问平台地址（默认 http://127.0.0.1:8765/），进入登录页后输入用户名与口令。登录成功后按角色加载可见菜单。会话有效期为 12 小时，超时后返回登录页。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3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3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2-2　登录页</w:t>
      </w:r>
    </w:p>
    <w:p>
      <w:pPr/>
      <w:r>
        <w:t>首次启动时，服务在控制台输出三条默认口令提示。内置账号如下：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360"/>
        <w:gridCol w:w="1700"/>
        <w:gridCol w:w="1473"/>
        <w:gridCol w:w="5213"/>
      </w:tblGrid>
      <w:tr>
        <w:trPr>
          <w:tblHeader w:val="true"/>
          <w:cantSplit w:val="true"/>
        </w:trPr>
        <w:tc>
          <w:tcPr>
            <w:tcW w:type="dxa" w:w="136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账号</w:t>
            </w:r>
          </w:p>
        </w:tc>
        <w:tc>
          <w:tcPr>
            <w:tcW w:type="dxa" w:w="170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初始口令</w:t>
            </w:r>
          </w:p>
        </w:tc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角色</w:t>
            </w:r>
          </w:p>
        </w:tc>
        <w:tc>
          <w:tcPr>
            <w:tcW w:type="dxa" w:w="521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可见范围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admin</w:t>
            </w:r>
          </w:p>
        </w:tc>
        <w:tc>
          <w:tcPr>
            <w:tcW w:type="dxa" w:w="1700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admin123</w:t>
            </w:r>
          </w:p>
        </w:tc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管理员</w:t>
            </w:r>
          </w:p>
        </w:tc>
        <w:tc>
          <w:tcPr>
            <w:tcW w:type="dxa" w:w="521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全部十一页（含用户与权限）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operator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operator123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值班长</w:t>
            </w:r>
          </w:p>
        </w:tc>
        <w:tc>
          <w:tcPr>
            <w:tcW w:type="dxa" w:w="52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十页；可修改策略参数、修改接入配置、下发指令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viewer</w:t>
            </w:r>
          </w:p>
        </w:tc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viewer123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运行人员</w:t>
            </w:r>
          </w:p>
        </w:tc>
        <w:tc>
          <w:tcPr>
            <w:tcW w:type="dxa" w:w="52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十页；全部为只读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现场部署前须修改上述默认口令。口令以加盐哈希存储（SHA-256、十二万次迭代），不存储明文，亦不存储裸哈希；但默认口令已记录于数据库与本说明书，未作修改即等同于公开。</w:t>
      </w:r>
    </w:p>
    <w:p>
      <w:pPr>
        <w:pStyle w:val="2"/>
      </w:pPr>
      <w:r>
        <w:t>启动与初始化</w:t>
      </w:r>
    </w:p>
    <w:p>
      <w:pPr>
        <w:pStyle w:val="3"/>
      </w:pPr>
      <w:r>
        <w:t>启动顺序</w:t>
      </w:r>
    </w:p>
    <w:p>
      <w:pPr/>
      <w:r>
        <w:t>本平台各运行体的启动存在严格的前后依赖，顺序不得颠倒：先准备数据，再启动服务，最后打开界面。界面不是独立的静态网页，须由平台后端托管；直接打开 index.html 将停留在「加载失败」状态，原因是浏览器在 file:// 协议下按同源策略拦截全部 /api 请求。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134"/>
        <w:gridCol w:w="1473"/>
        <w:gridCol w:w="3966"/>
        <w:gridCol w:w="3173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步</w:t>
            </w:r>
          </w:p>
        </w:tc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动作</w:t>
            </w:r>
          </w:p>
        </w:tc>
        <w:tc>
          <w:tcPr>
            <w:tcW w:type="dxa" w:w="396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操作内容</w:t>
            </w:r>
          </w:p>
        </w:tc>
        <w:tc>
          <w:tcPr>
            <w:tcW w:type="dxa" w:w="31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失败时的表现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准备数据</w:t>
            </w:r>
          </w:p>
        </w:tc>
        <w:tc>
          <w:tcPr>
            <w:tcW w:type="dxa" w:w="396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导入仿真产物或启动采集，使数据库中存在数据</w:t>
            </w:r>
          </w:p>
        </w:tc>
        <w:tc>
          <w:tcPr>
            <w:tcW w:type="dxa" w:w="31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页面可打开，所有数值显示为「—」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2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导入数据库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将时序、告警与经济性数据写入 SQLite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总览返回 404，并提示启动引擎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3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启动后端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启动 HTTP 服务并托管界面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浏览器无法打开页面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4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登录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按角色进入可见页面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停留在登录页</w:t>
            </w:r>
          </w:p>
        </w:tc>
      </w:tr>
    </w:tbl>
    <w:p>
      <w:pPr>
        <w:spacing w:after="80" w:line="240" w:lineRule="auto"/>
        <w:ind w:firstLine="0"/>
      </w:pPr>
    </w:p>
    <w:p>
      <w:pPr>
        <w:pStyle w:val="3"/>
      </w:pPr>
      <w:r>
        <w:t>首次部署</w:t>
      </w:r>
    </w:p>
    <w:p>
      <w:pPr/>
      <w:r>
        <w:t>在项目根目录依次执行下列命令即可完成首次部署。命令均在 Windows 命令行下运行；脚本内部已切换至项目根目录，无需手工切换目录。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Consolas"/>
                <w:sz w:val="18"/>
              </w:rPr>
              <w:t>rem 1) 导入仿真产物并自检（建库、建表、写入六个场景）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14\scripts\run_all.bat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rem 2) 仅执行导入，不执行自检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14\scripts\import_sim.bat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rem 3) 启动服务（默认 127.0.0.1:8765，同时托管 15/ 界面）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14\scripts\run_server.bat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rem 3b) 更换端口或指定跨域来源（仅调试使用）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14\scripts\run_server.bat --port 9000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14\scripts\run_server.bat --static 15 --allow-origin http://127.0.0.1:5173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亦可由界面侧一并启动服务：15\scripts\run_ui.bat 先启动后端，再托管界面，适用于仅需查看界面、不执行自检的场景。</w:t>
      </w:r>
    </w:p>
    <w:p>
      <w:pPr/>
      <w:r>
        <w:rPr>
          <w:b/>
        </w:rPr>
        <w:t>注意：</w:t>
      </w:r>
      <w:r>
        <w:t>导入操作具备幂等性：重复执行 import_sim.bat 不产生重复记录，不改变已有数值。可通过重跑该脚本修复数据。</w:t>
      </w:r>
    </w:p>
    <w:p>
      <w:pPr>
        <w:pStyle w:val="3"/>
      </w:pPr>
      <w:r>
        <w:t>服务地址与健康检查</w:t>
      </w:r>
    </w:p>
    <w:p>
      <w:pPr/>
      <w:r>
        <w:t>服务启动后，通过健康检查确认三项状态：服务可用、数据库已就绪、场景已导入。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Consolas"/>
                <w:sz w:val="18"/>
              </w:rPr>
              <w:t>curl http://127.0.0.1:8765/api/health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{"ok": true, "service": "ems-platform-api", "schema_version": "1.6",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 xml:space="preserve"> "scenarios": [{"scenario_id": "normal", "steps": 86400, "log_rows": 8640}, …]}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返回结果中的 schema_version 应与页脚显示一致；scenarios 中每个场景的 log_rows 为该场景可回看的拍数。任一场景缺失均说明导入未完整执行。</w:t>
      </w:r>
    </w:p>
    <w:p>
      <w:pPr/>
      <w:r>
        <w:rPr>
          <w:b/>
        </w:rPr>
        <w:t>注意：</w:t>
      </w:r>
      <w:r>
        <w:t>服务默认不返回 Access-Control-Allow-Origin 响应头。确需跨域调试时，以 --allow-origin 显式指定单一来源，启动横幅将打印该配置。跨域开关的状态须可见，不得静默放开。</w:t>
      </w:r>
    </w:p>
    <w:p>
      <w:pPr>
        <w:pStyle w:val="3"/>
      </w:pPr>
      <w:r>
        <w:t>启动后自检</w:t>
      </w:r>
    </w:p>
    <w:p>
      <w:pPr/>
      <w:r>
        <w:t>交付前或变更后应执行一次自检。两个自检脚本均为断言式，全部通过时以退出码 0 结束：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3400"/>
        <w:gridCol w:w="1586"/>
        <w:gridCol w:w="4759"/>
      </w:tblGrid>
      <w:tr>
        <w:trPr>
          <w:tblHeader w:val="true"/>
          <w:cantSplit w:val="true"/>
        </w:trPr>
        <w:tc>
          <w:tcPr>
            <w:tcW w:type="dxa" w:w="340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脚本</w:t>
            </w:r>
          </w:p>
        </w:tc>
        <w:tc>
          <w:tcPr>
            <w:tcW w:type="dxa" w:w="158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断言数</w:t>
            </w:r>
          </w:p>
        </w:tc>
        <w:tc>
          <w:tcPr>
            <w:tcW w:type="dxa" w:w="475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覆盖内容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14\scripts\run_selftest.bat</w:t>
            </w:r>
          </w:p>
        </w:tc>
        <w:tc>
          <w:tcPr>
            <w:tcW w:type="dxa" w:w="158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1001（本机齐备口径）</w:t>
            </w:r>
          </w:p>
        </w:tc>
        <w:tc>
          <w:tcPr>
            <w:tcW w:type="dxa" w:w="475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库表完整性、导入行数与源文件逐项核对、幂等性、认证与权限、接口状态码、设备接入闭环、实时入库、告警分类恒等式、跨域收紧、静态目录穿越</w:t>
            </w:r>
          </w:p>
        </w:tc>
      </w:tr>
      <w:tr>
        <w:trPr>
          <w:cantSplit w:val="true"/>
        </w:trPr>
        <w:tc>
          <w:tcPr>
            <w:tcW w:type="dxa" w:w="34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15\scripts\run_selftest.bat</w:t>
            </w:r>
          </w:p>
        </w:tc>
        <w:tc>
          <w:tcPr>
            <w:tcW w:type="dxa" w:w="158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522</w:t>
            </w:r>
          </w:p>
        </w:tc>
        <w:tc>
          <w:tcPr>
            <w:tcW w:type="dxa" w:w="47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文件齐备与加载顺序、接口契约与后端路由表逐条对齐、菜单与权限、渲染纪律、图表与样式变量、口径一致性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自检输出以 PASS / FAIL 计数结束。FAIL 计数不为零时，报告中每条失败项均标注期望值与实际值，无需人工复算。</w:t>
      </w:r>
    </w:p>
    <w:p>
      <w:pPr/>
      <w:r>
        <w:rPr>
          <w:b/>
        </w:rPr>
        <w:t>注意：</w:t>
      </w:r>
      <w:r>
        <w:t>10/build 目录不存在时，自检显式输出 SKIPPED=1 并以退出码 0 结束：环境缺失不视为代码缺陷，但须显式记录，不得静默跳过。</w:t>
      </w:r>
    </w:p>
    <w:p>
      <w:pPr>
        <w:pStyle w:val="2"/>
      </w:pPr>
      <w:r>
        <w:t>设备接入配置</w:t>
      </w:r>
    </w:p>
    <w:p>
      <w:pPr>
        <w:pStyle w:val="3"/>
      </w:pPr>
      <w:r>
        <w:t>两大部分与两份输入</w:t>
      </w:r>
    </w:p>
    <w:p>
      <w:pPr/>
      <w:r>
        <w:t>本平台在电力系统中同时承担两种相反的通信角色，这一特点决定了设备管理页的结构：对上级调度，本平台为被连接的 IEC 60870-5-104 从站（上端）；对站内设备，本平台为主动轮询的 Modbus TCP 主站（下端）。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147"/>
        <w:gridCol w:w="2006"/>
        <w:gridCol w:w="2752"/>
        <w:gridCol w:w="2006"/>
        <w:gridCol w:w="1834"/>
      </w:tblGrid>
      <w:tr>
        <w:trPr>
          <w:tblHeader w:val="true"/>
          <w:cantSplit w:val="true"/>
        </w:trPr>
        <w:tc>
          <w:tcPr>
            <w:tcW w:type="dxa" w:w="1147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部分</w:t>
            </w:r>
          </w:p>
        </w:tc>
        <w:tc>
          <w:tcPr>
            <w:tcW w:type="dxa" w:w="200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页面名称</w:t>
            </w:r>
          </w:p>
        </w:tc>
        <w:tc>
          <w:tcPr>
            <w:tcW w:type="dxa" w:w="2752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本平台角色</w:t>
            </w:r>
          </w:p>
        </w:tc>
        <w:tc>
          <w:tcPr>
            <w:tcW w:type="dxa" w:w="200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链路数量</w:t>
            </w:r>
          </w:p>
        </w:tc>
        <w:tc>
          <w:tcPr>
            <w:tcW w:type="dxa" w:w="18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对端</w:t>
            </w:r>
          </w:p>
        </w:tc>
      </w:tr>
      <w:tr>
        <w:trPr>
          <w:cantSplit w:val="true"/>
        </w:trPr>
        <w:tc>
          <w:tcPr>
            <w:tcW w:type="dxa" w:w="1147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一</w:t>
            </w:r>
          </w:p>
        </w:tc>
        <w:tc>
          <w:tcPr>
            <w:tcW w:type="dxa" w:w="200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调度主站接入</w:t>
            </w:r>
          </w:p>
        </w:tc>
        <w:tc>
          <w:tcPr>
            <w:tcW w:type="dxa" w:w="2752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 60870-5-104 从站（被连接方）</w:t>
            </w:r>
          </w:p>
        </w:tc>
        <w:tc>
          <w:tcPr>
            <w:tcW w:type="dxa" w:w="200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一条链路（一个监听口对应一条链路）</w:t>
            </w:r>
          </w:p>
        </w:tc>
        <w:tc>
          <w:tcPr>
            <w:tcW w:type="dxa" w:w="1834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上级调度主站 / 模拟调度主站</w:t>
            </w:r>
          </w:p>
        </w:tc>
      </w:tr>
      <w:tr>
        <w:trPr>
          <w:cantSplit w:val="true"/>
        </w:trPr>
        <w:tc>
          <w:tcPr>
            <w:tcW w:type="dxa" w:w="11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二</w:t>
            </w:r>
          </w:p>
        </w:tc>
        <w:tc>
          <w:tcPr>
            <w:tcW w:type="dxa" w:w="20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站内设备接入</w:t>
            </w:r>
          </w:p>
        </w:tc>
        <w:tc>
          <w:tcPr>
            <w:tcW w:type="dxa" w:w="2752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Modbus TCP 主站（主动轮询）</w:t>
            </w:r>
          </w:p>
        </w:tc>
        <w:tc>
          <w:tcPr>
            <w:tcW w:type="dxa" w:w="20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N 台，每台一套参数</w:t>
            </w:r>
          </w:p>
        </w:tc>
        <w:tc>
          <w:tcPr>
            <w:tcW w:type="dxa" w:w="183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现场装置 / 设备替身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各部分的配置均分为两段，原因是每一端需要两份输入，而非一份：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586"/>
        <w:gridCol w:w="4080"/>
        <w:gridCol w:w="4080"/>
      </w:tblGrid>
      <w:tr>
        <w:trPr>
          <w:tblHeader w:val="true"/>
          <w:cantSplit w:val="true"/>
        </w:trPr>
        <w:tc>
          <w:tcPr>
            <w:tcW w:type="dxa" w:w="158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</w:p>
        </w:tc>
        <w:tc>
          <w:tcPr>
            <w:tcW w:type="dxa" w:w="408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① 接入参数（是否可连通）</w:t>
            </w:r>
          </w:p>
        </w:tc>
        <w:tc>
          <w:tcPr>
            <w:tcW w:type="dxa" w:w="408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② 表（数据是否正确）</w:t>
            </w:r>
          </w:p>
        </w:tc>
      </w:tr>
      <w:tr>
        <w:trPr>
          <w:cantSplit w:val="true"/>
        </w:trPr>
        <w:tc>
          <w:tcPr>
            <w:tcW w:type="dxa" w:w="158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调度主站接入</w:t>
            </w:r>
          </w:p>
        </w:tc>
        <w:tc>
          <w:tcPr>
            <w:tcW w:type="dxa" w:w="408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全站唯一一份：监听网卡、监听端口、公共地址 CA、启用状态；模拟态另记录模拟主站所在主机</w:t>
            </w:r>
          </w:p>
        </w:tc>
        <w:tc>
          <w:tcPr>
            <w:tcW w:type="dxa" w:w="408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IOA 转发表（可编辑、可保存）：随包默认 24 个上送点与 6 个下行点</w:t>
            </w:r>
          </w:p>
        </w:tc>
      </w:tr>
      <w:tr>
        <w:trPr>
          <w:cantSplit w:val="true"/>
        </w:trPr>
        <w:tc>
          <w:tcPr>
            <w:tcW w:type="dxa" w:w="158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站内设备接入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每台一份：IP、端口、从站号、轮询周期、超时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每台一份：寄存器表、地址、编码、字序、缩放、可写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两类配置的失效方式完全不同：地址错误表现为无法连接，存在连接超时与明确报错；点表或转发表错误则表现为链路已建立而数据不正确，系统不产生任何报错，界面数据仍持续刷新。因此二者在页面上须分为两段，各自具备标题与口径说明。</w:t>
      </w:r>
    </w:p>
    <w:p>
      <w:pPr/>
      <w:r>
        <w:t>上端的两份输入不再以独立表单常驻页面，而是收进「接入调度主站」九步向导的第六步；页面上半部分仅保留入口卡、填报进度与当前生效值。下端两份输入仍在页面下半部分逐台呈现。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9809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evices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8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4-1　设备管理页：上端向导入口、下端两份输入与逐台清册</w:t>
      </w:r>
    </w:p>
    <w:p>
      <w:pPr>
        <w:pStyle w:val="3"/>
      </w:pPr>
      <w:r>
        <w:t>接入调度主站九步向导</w:t>
      </w:r>
    </w:p>
    <w:p>
      <w:pPr/>
      <w:r>
        <w:t>上端接入不再以零散输入框呈现，而是收敛为一个九步向导。做出这一调整的原因是：接入调度主站这件事里，绝大多数环节发生在软件之外——管辖权的确认、资料的报送、号段的下发、通信通道的开通、证书的签发、联调与传动试验、签字与投运，软件既无法代办，也无法验证。若把这些环节与「监听端口填什么」混排在同一页上，操作人员无从判断哪些已经办完、哪些只差软件这一格。</w:t>
      </w:r>
    </w:p>
    <w:p>
      <w:pPr/>
      <w:r>
        <w:t>九步依次为：管辖权与接入方案、报送资料、审改与号段下发、通信通道、安全防护、站内配置、三级联调、遥控遥调传动、报告与投运。其中</w:t>
      </w:r>
      <w:r>
        <w:rPr>
          <w:b/>
        </w:rPr>
        <w:t>只有第六步「站内配置」会改动本机配置</w:t>
      </w:r>
      <w:r>
        <w:t>（监听口、公共地址、IOA 转发表），其余八步均为台账记录，不改配置、不改数据。</w:t>
      </w:r>
    </w:p>
    <w:p>
      <w:pPr/>
      <w:r>
        <w:t>入口卡提供两个按钮。点击「接入调度主站」打开与页面等大的全页弹层；「重置」用于清空九步的填报记录。卡片同时显示填报进度与上端当前生效值，使「台账填到哪一步」与「软件里现在生效的是什么」在同一处可读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39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wizard_entry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3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4-2　向导第一步：九步步骤条、本步材料清单、填报区与页脚按钮（红框为必填未填）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926"/>
        <w:gridCol w:w="1926"/>
        <w:gridCol w:w="5893"/>
      </w:tblGrid>
      <w:tr>
        <w:trPr>
          <w:tblHeader w:val="true"/>
          <w:cantSplit w:val="true"/>
        </w:trPr>
        <w:tc>
          <w:tcPr>
            <w:tcW w:type="dxa" w:w="19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控件</w:t>
            </w:r>
          </w:p>
        </w:tc>
        <w:tc>
          <w:tcPr>
            <w:tcW w:type="dxa" w:w="19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位置</w:t>
            </w:r>
          </w:p>
        </w:tc>
        <w:tc>
          <w:tcPr>
            <w:tcW w:type="dxa" w:w="589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行为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上一步 / 下一步</w:t>
            </w:r>
          </w:p>
        </w:tc>
        <w:tc>
          <w:tcPr>
            <w:tcW w:type="dxa" w:w="19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弹层页脚</w:t>
            </w:r>
          </w:p>
        </w:tc>
        <w:tc>
          <w:tcPr>
            <w:tcW w:type="dxa" w:w="589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逐步前进或后退；翻页本身不校验必填，未填完也可继续翻页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完成填报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弹层页脚（仅第九步）</w:t>
            </w:r>
          </w:p>
        </w:tc>
        <w:tc>
          <w:tcPr>
            <w:tcW w:type="dxa" w:w="58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校验九步必填是否全齐；未齐则提示缺在第几步并跳转，页面不关闭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退出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弹层页脚</w:t>
            </w:r>
          </w:p>
        </w:tc>
        <w:tc>
          <w:tcPr>
            <w:tcW w:type="dxa" w:w="58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随时退出弹层；已填写内容按 500 ms 防抖自动保存，无需另点保存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重置</w:t>
            </w:r>
          </w:p>
        </w:tc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入口卡</w:t>
            </w:r>
          </w:p>
        </w:tc>
        <w:tc>
          <w:tcPr>
            <w:tcW w:type="dxa" w:w="58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清空九步填报记录，须二次确认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本向导没有「保存草稿」按钮。录入即存是刻意的：多一个按钮就多一个「忘了点」的理由，而现场最不能发生的事正是「填了半小时、退出时没保存」。因此退出、切换页面、导出前的三条路径都会先触发一次保存。</w:t>
      </w:r>
    </w:p>
    <w:p>
      <w:pPr/>
      <w:r>
        <w:t>未完成即退出时，下次打开会直接定位到上次填写的那一步，并给出「上次填到第 N 步（时间）」的说明。该说明不可省略：静默跳转会被读成「上次填的丢了」。续填按「最后停留的步」定位，而非按第一个缺项的步定位——现场更常见的是资料未齐而先行往下填写，不是跳着填。</w:t>
      </w:r>
    </w:p>
    <w:p>
      <w:pPr/>
      <w:r>
        <w:rPr>
          <w:b/>
        </w:rPr>
        <w:t>注意：</w:t>
      </w:r>
      <w:r>
        <w:t>「重置」只清空九步填报这份台账，</w:t>
      </w:r>
      <w:r>
        <w:rPr>
          <w:b/>
        </w:rPr>
        <w:t>不改动</w:t>
      </w:r>
      <w:r>
        <w:t>已生效的链路参数（监听口、公共地址）与 IOA 转发表。二者性质不同：前者是台账，后者是线上正在使用的配置。混在一起清除，等于在清理台账时把运行中的配置一并抹掉。</w:t>
      </w:r>
    </w:p>
    <w:p>
      <w:pPr>
        <w:pStyle w:val="3"/>
      </w:pPr>
      <w:r>
        <w:t>九步一览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134"/>
        <w:gridCol w:w="2606"/>
        <w:gridCol w:w="1473"/>
        <w:gridCol w:w="1473"/>
        <w:gridCol w:w="3059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步</w:t>
            </w:r>
          </w:p>
        </w:tc>
        <w:tc>
          <w:tcPr>
            <w:tcW w:type="dxa" w:w="260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名称</w:t>
            </w:r>
          </w:p>
        </w:tc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性质</w:t>
            </w:r>
          </w:p>
        </w:tc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字段 / 必填</w:t>
            </w:r>
          </w:p>
        </w:tc>
        <w:tc>
          <w:tcPr>
            <w:tcW w:type="dxa" w:w="305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本步导出件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1</w:t>
            </w:r>
          </w:p>
        </w:tc>
        <w:tc>
          <w:tcPr>
            <w:tcW w:type="dxa" w:w="260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管辖权与接入方案</w:t>
            </w:r>
          </w:p>
        </w:tc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台账</w:t>
            </w:r>
          </w:p>
        </w:tc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7 / 5</w:t>
            </w:r>
          </w:p>
        </w:tc>
        <w:tc>
          <w:tcPr>
            <w:tcW w:type="dxa" w:w="305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接入方案确认单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2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报送资料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台账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5 / 4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远动信息参数表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3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审改与号段下发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台账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7 / 5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号段对照表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4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通信通道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台账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9 / 5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通道参数表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5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安全防护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台账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5 / 4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证书与安全清单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6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站内配置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b/>
                <w:sz w:val="21"/>
              </w:rPr>
              <w:t>改配置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3 / 2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站内配置快照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7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三级联调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台账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8 / 7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联调记录表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8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遥控遥调传动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台账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6 / 5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传动试验记录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9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报告与投运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台账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6 / 4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投运资料清单（含九步汇总）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九步合计五十六个字段，其中必填四十一条；必填中有三条为条件必填，仅在其所依赖的字段填为特定取值后才适用。空表口径下实际适用三十八条，系统已给出一项客观默认值（监听端口 2404），因此首次进入时显示「必填 38 项、尚缺 37 项」。必填的口径取自 DL/T 516-2017 第 7.1、7.2 条（远动信息参数表）、并网调度协议第 5.5 条（变比、满度）与 Q/GDW 12210-2022（RCD 要求）。</w:t>
      </w:r>
    </w:p>
    <w:p>
      <w:pPr>
        <w:pStyle w:val="3"/>
      </w:pPr>
      <w:r>
        <w:t>每步的三项内容与本步导出</w:t>
      </w:r>
    </w:p>
    <w:p>
      <w:pPr/>
      <w:r>
        <w:t>除第六步外，各步均由三块构成，自上而下依次为材料清单、建议值、填报区：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473"/>
        <w:gridCol w:w="4533"/>
        <w:gridCol w:w="3740"/>
      </w:tblGrid>
      <w:tr>
        <w:trPr>
          <w:tblHeader w:val="true"/>
          <w:cantSplit w:val="true"/>
        </w:trPr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块</w:t>
            </w:r>
          </w:p>
        </w:tc>
        <w:tc>
          <w:tcPr>
            <w:tcW w:type="dxa" w:w="453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内容</w:t>
            </w:r>
          </w:p>
        </w:tc>
        <w:tc>
          <w:tcPr>
            <w:tcW w:type="dxa" w:w="374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数据来源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材料清单</w:t>
            </w:r>
          </w:p>
        </w:tc>
        <w:tc>
          <w:tcPr>
            <w:tcW w:type="dxa" w:w="453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本步要交什么、按什么口径、该找谁、本平台这边的现状</w:t>
            </w:r>
          </w:p>
        </w:tc>
        <w:tc>
          <w:tcPr>
            <w:tcW w:type="dxa" w:w="374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后端按库与文件系统的真实值计算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建议值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可一键采用的客观值，并注明采用理由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后端给出，不含主观判断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填报区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本步字段，录入即存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草稿存于数据库 meta.access_draft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口径说明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规程出处与注意事项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挂在清单卡片标题上，悬停显示，不占版面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页脚另提供本步导出件按钮，导出的不是总台账换一个文件名，而是各步各自应交的那份：第二步导出的是逐点展开的三十行《远动信息参数表》，且额外留出 CT 变比、PT 变比、遥测满度、遥信动合动断四列——本平台并不产生这四项，留空是提醒，填上一个默认值才是误导；第三步导出号段对照表，逐行给出「本平台的 IOA → 按现行规则推出的号段」；第八步导出传动记录，转发表里的六个下行点逐行列出，结果列照填、未填即空；第九步除投运资料清单外，另附一张九步汇总，逐步列出必填数、已填数与缺项数。</w:t>
      </w:r>
    </w:p>
    <w:p>
      <w:pPr/>
      <w:r>
        <w:rPr>
          <w:b/>
        </w:rPr>
        <w:t>注意：</w:t>
      </w:r>
      <w:r>
        <w:t>每份导出件末尾均写明「缺项合计」并逐条列出，导出件不得看起来比草稿更完整。材料清单、建议值与导出件三者取自后端同一份定义，界面只负责呈现；若界面另算一套，就会出现「界面显示十项而导出件少两行」且两边都不报错的情形。</w:t>
      </w:r>
    </w:p>
    <w:p>
      <w:pPr>
        <w:pStyle w:val="3"/>
      </w:pPr>
      <w:r>
        <w:t>第六步 · 站内配置</w:t>
      </w:r>
    </w:p>
    <w:p>
      <w:pPr/>
      <w:r>
        <w:t>第六步是九步中唯一改动本机配置的一步，页头标有「会改配置」标识，其余八步标「只记台账」。本步内容与上端的两份输入一一对应：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72789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wizard_step6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727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4-3　向导第六步：① 接入参数与 ② IOA 转发表，及落地文件现状</w:t>
      </w:r>
    </w:p>
    <w:p>
      <w:pPr/>
      <w:r>
        <w:t>第一块为接入参数，全站仅一份，填写的是本机用于等待调度连接的网卡与端口，而非调度主站的地址。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926"/>
        <w:gridCol w:w="3626"/>
        <w:gridCol w:w="4193"/>
      </w:tblGrid>
      <w:tr>
        <w:trPr>
          <w:tblHeader w:val="true"/>
          <w:cantSplit w:val="true"/>
        </w:trPr>
        <w:tc>
          <w:tcPr>
            <w:tcW w:type="dxa" w:w="19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36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419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填写要求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对端形态</w:t>
            </w:r>
          </w:p>
        </w:tc>
        <w:tc>
          <w:tcPr>
            <w:tcW w:type="dxa" w:w="36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本端当前对端为真实调度或模拟主站</w:t>
            </w:r>
          </w:p>
        </w:tc>
        <w:tc>
          <w:tcPr>
            <w:tcW w:type="dxa" w:w="419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联调期选模拟源，投运前切回真实源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监听网卡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网关绑定的本机网卡地址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多网卡现场须显式指定，避免绑定至错误网段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监听端口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 104 标准端口为 2404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除对端另有约定外，保持 2404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公共地址 CA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厂站公共地址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须与调度侧配置完全一致；0 与 65535 为保留值，不可使用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模拟主站地址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模拟态下 iec104_master.exe 所在主机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默认为本机；仅模拟态需要填写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启用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该链路是否生效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未开通调度链路时应保持停用，优于填写无效地址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第二块为 IOA 转发表，上端的第二份输入，随包默认包含二十四个上送点与六个下行点。两份输入的编辑方式见下节。</w:t>
      </w:r>
    </w:p>
    <w:p>
      <w:pPr/>
      <w:r>
        <w:t>清单区给出本步涉及的三项落地文件及其</w:t>
      </w:r>
      <w:r>
        <w:rPr>
          <w:b/>
        </w:rPr>
        <w:t>现状</w:t>
      </w:r>
      <w:r>
        <w:t>，现状由后端按库与文件系统实际计算：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926"/>
        <w:gridCol w:w="2266"/>
        <w:gridCol w:w="2833"/>
        <w:gridCol w:w="2720"/>
      </w:tblGrid>
      <w:tr>
        <w:trPr>
          <w:tblHeader w:val="true"/>
          <w:cantSplit w:val="true"/>
        </w:trPr>
        <w:tc>
          <w:tcPr>
            <w:tcW w:type="dxa" w:w="19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落地文件</w:t>
            </w:r>
          </w:p>
        </w:tc>
        <w:tc>
          <w:tcPr>
            <w:tcW w:type="dxa" w:w="226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内容</w:t>
            </w:r>
          </w:p>
        </w:tc>
        <w:tc>
          <w:tcPr>
            <w:tcW w:type="dxa" w:w="283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谁读它</w:t>
            </w:r>
          </w:p>
        </w:tc>
        <w:tc>
          <w:tcPr>
            <w:tcW w:type="dxa" w:w="272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现状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active.upstream</w:t>
            </w:r>
          </w:p>
        </w:tc>
        <w:tc>
          <w:tcPr>
            <w:tcW w:type="dxa" w:w="226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监听网卡与端口</w:t>
            </w:r>
          </w:p>
        </w:tc>
        <w:tc>
          <w:tcPr>
            <w:tcW w:type="dxa" w:w="283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iec104_gateway.exe（启动时读取）</w:t>
            </w:r>
          </w:p>
        </w:tc>
        <w:tc>
          <w:tcPr>
            <w:tcW w:type="dxa" w:w="272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监听 0.0.0.0:2404 · CA 1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（同上）公共地址 CA</w:t>
            </w:r>
          </w:p>
        </w:tc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厂站公共地址</w:t>
            </w:r>
          </w:p>
        </w:tc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iec104_gateway.exe</w:t>
            </w:r>
          </w:p>
        </w:tc>
        <w:tc>
          <w:tcPr>
            <w:tcW w:type="dxa" w:w="272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CA 1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active.pointmap.csv</w:t>
            </w:r>
          </w:p>
        </w:tc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IOA 转发表</w:t>
            </w:r>
          </w:p>
        </w:tc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iec104_gateway.exe（启动时读取，无热更新）</w:t>
            </w:r>
          </w:p>
        </w:tc>
        <w:tc>
          <w:tcPr>
            <w:tcW w:type="dxa" w:w="272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未落盘 · 网关用内置默认表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「未落盘」一项须重点核对。转发表文件不存在时，网关按三级优先规则回退到编译进程序的内置默认表，也就是说界面上改过的 IOA 此刻并无任何进程在读取。不把这一状态写出来，操作人员会以为保存即生效。另外须注意同目录下的 active.csv 是</w:t>
      </w:r>
      <w:r>
        <w:rPr>
          <w:b/>
        </w:rPr>
        <w:t>下端 Modbus 点表</w:t>
      </w:r>
      <w:r>
        <w:t>，与转发表仅差一个点号，手工改错文件将直接打坏下端采集。</w:t>
      </w:r>
    </w:p>
    <w:p>
      <w:pPr/>
      <w:r>
        <w:t>保存后配置立即写入 config/point-map/active.upstream 与 active.pointmap.csv，但网关仅在启动时读取这两个文件，修改后须重启网关方可生效。</w:t>
      </w:r>
    </w:p>
    <w:p>
      <w:pPr/>
      <w:r>
        <w:rPr>
          <w:b/>
        </w:rPr>
        <w:t>注意：</w:t>
      </w:r>
      <w:r>
        <w:t>监听端口与公共地址属于链路属性，在真实态与模拟态下取值相同。模拟态仅改变「由谁发起连接」，不改变「在何处监听」。因此在「换一套」操作后该栏保持不变属正确行为，不属漏操作。</w:t>
      </w:r>
    </w:p>
    <w:p>
      <w:pPr>
        <w:pStyle w:val="3"/>
      </w:pPr>
      <w:r>
        <w:t>IOA 转发表的编辑与导入</w:t>
      </w:r>
    </w:p>
    <w:p>
      <w:pPr/>
      <w:r>
        <w:t>点击「编辑转发表」打开与页面等大的弹层，共十二列逐行编辑。工具栏提供新增一行、导入 CSV、下载模板、导出当前表、恢复默认、保存转发表六项操作。各列含义如下：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700"/>
        <w:gridCol w:w="3966"/>
        <w:gridCol w:w="408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列</w:t>
            </w:r>
          </w:p>
        </w:tc>
        <w:tc>
          <w:tcPr>
            <w:tcW w:type="dxa" w:w="396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408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配置要求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IOA</w:t>
            </w:r>
          </w:p>
        </w:tc>
        <w:tc>
          <w:tcPr>
            <w:tcW w:type="dxa" w:w="396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信息体地址，调度侧识别测点的唯一键</w:t>
            </w:r>
          </w:p>
        </w:tc>
        <w:tc>
          <w:tcPr>
            <w:tcW w:type="dxa" w:w="408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同一表内不可重复；重复将导致整表被拒绝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类型 (kind)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遥测、遥信、遥调、遥控等类型标识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须与该点实际的量测性质一致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方向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上送（本平台应答）或下行（本平台接收）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方向填反将导致调度侧接收的点位不对应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分组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按间隔或功能分组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仅用于组织与导出，不参与寻址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名称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调度侧点名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面向调度人员，可与 EMS 点名不同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EMS 点名 (src)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本平台内部点名，取自点表头文件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平台不另行维护点名副本，全部引用同一份定义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系数 / 偏置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工程值换算：实际值 = 原始值 × 系数 + 偏置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系数错误将导致全站数据量级偏差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单位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工程量单位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须与系数配套核对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说明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备注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建议注明数据来源与用途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「导入 CSV」用于把调度下发的那份表直接读进编辑区，免于逐行誊抄。导入是编辑动作而非提交动作，其行为有四条固定规则：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040"/>
        <w:gridCol w:w="3966"/>
        <w:gridCol w:w="3740"/>
      </w:tblGrid>
      <w:tr>
        <w:trPr>
          <w:tblHeader w:val="true"/>
          <w:cantSplit w:val="true"/>
        </w:trPr>
        <w:tc>
          <w:tcPr>
            <w:tcW w:type="dxa" w:w="204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规则</w:t>
            </w:r>
          </w:p>
        </w:tc>
        <w:tc>
          <w:tcPr>
            <w:tcW w:type="dxa" w:w="396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  <w:tc>
          <w:tcPr>
            <w:tcW w:type="dxa" w:w="374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204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不落盘</w:t>
            </w:r>
          </w:p>
        </w:tc>
        <w:tc>
          <w:tcPr>
            <w:tcW w:type="dxa" w:w="396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解析后进编辑区，仍须点「保存转发表」才写入</w:t>
            </w:r>
          </w:p>
        </w:tc>
        <w:tc>
          <w:tcPr>
            <w:tcW w:type="dxa" w:w="374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导错了要能在表格里接着改</w:t>
            </w:r>
          </w:p>
        </w:tc>
      </w:tr>
      <w:tr>
        <w:trPr>
          <w:cantSplit w:val="true"/>
        </w:trPr>
        <w:tc>
          <w:tcPr>
            <w:tcW w:type="dxa" w:w="20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不校验行数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上端按 IOA 定位，行序无意义，多一行少一行均合法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下端点表为「行序即索引」，其行数校验规则不可沿用至上端</w:t>
            </w:r>
          </w:p>
        </w:tc>
      </w:tr>
      <w:tr>
        <w:trPr>
          <w:cantSplit w:val="true"/>
        </w:trPr>
        <w:tc>
          <w:tcPr>
            <w:tcW w:type="dxa" w:w="20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导入即报预检结果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立刻报出几行未过、第一处在哪一行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等人点保存才报错时，人已离开上下文</w:t>
            </w:r>
          </w:p>
        </w:tc>
      </w:tr>
      <w:tr>
        <w:trPr>
          <w:cantSplit w:val="true"/>
        </w:trPr>
        <w:tc>
          <w:tcPr>
            <w:tcW w:type="dxa" w:w="20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空列按默认补齐并告知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总召分组补 1（下行补 0）、系数补 1、偏置补 0，并报告补了几行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静默改数据不行，改了必须说明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 xml:space="preserve">导入能把 IOA、类型、名称、系数搬过来，但 </w:t>
      </w:r>
      <w:r>
        <w:rPr>
          <w:b/>
        </w:rPr>
        <w:t>EMS 点名（src）仍然必须逐行人工绑定</w:t>
      </w:r>
      <w:r>
        <w:t>：调度只知道「4004 是关口有功」，并不知道本平台内部称之为 MEAS.P_GRID。这是语义映射而非格式转换，没有做得对的全自动方式；src 为空的行在表格中标红，提交时由服务端以 400 拒绝。</w:t>
      </w:r>
    </w:p>
    <w:p>
      <w:pPr/>
      <w:r>
        <w:t>保存流程为：校验、原子写入文件、整表重写数据库存档。任一环节失败时文件与数据库一并回退，不产生「界面提示已保存而网关仍在使用旧表」的部分成功状态。</w:t>
      </w:r>
    </w:p>
    <w:p>
      <w:pPr/>
      <w:r>
        <w:rPr>
          <w:b/>
        </w:rPr>
        <w:t>注意：</w:t>
      </w:r>
      <w:r>
        <w:t>转发表修改后须重启网关方可生效，网关仅在启动时读取一次。「恢复默认」为删除文件并清除数据库存档（DELETE 操作），并非保存一张空表；空表将被校验拒绝，因为「文件不存在」与「未配置」在语义上不同。</w:t>
      </w:r>
    </w:p>
    <w:p>
      <w:pPr/>
      <w:r>
        <w:rPr>
          <w:b/>
        </w:rPr>
        <w:t>注意：</w:t>
      </w:r>
      <w:r>
        <w:rPr>
          <w:b/>
        </w:rPr>
        <w:t>转发表不是交付给调度的东西，它是本机的对照表。</w:t>
      </w:r>
      <w:r>
        <w:t>转发表回答的是「调度要的 IOA 4004，对应本平台库里哪个点」，文件落在 config/point-map/ 下，上端看不到它，读它的是本机的网关进程。真正交给调度的是第二步导出的《远动信息参数表》，调度凭它在自己那一侧建库。方向还须注意：IOA 号由调度确定，随包的 1001 遥信、4001 至 4018 遥测、5001 遥控、6001 遥调均为我方建议稿，一条都未经调度确认；正确做法是把建议稿报上去请调度改号，拿回调度那一版再录进本步，而不是把建议稿当成定稿交出去。</w:t>
      </w:r>
    </w:p>
    <w:p>
      <w:pPr>
        <w:pStyle w:val="3"/>
      </w:pPr>
      <w:r>
        <w:t>站内设备接入 · ① 接入参数</w:t>
      </w:r>
    </w:p>
    <w:p>
      <w:pPr/>
      <w:r>
        <w:t>下端按设备记账，每台设备一套参数，通过弹层逐台编辑。弹层页头标注设备号，以避免与整站级的两份输入混淆。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926"/>
        <w:gridCol w:w="3626"/>
        <w:gridCol w:w="4193"/>
      </w:tblGrid>
      <w:tr>
        <w:trPr>
          <w:tblHeader w:val="true"/>
          <w:cantSplit w:val="true"/>
        </w:trPr>
        <w:tc>
          <w:tcPr>
            <w:tcW w:type="dxa" w:w="19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36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419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填写要求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对端形态</w:t>
            </w:r>
          </w:p>
        </w:tc>
        <w:tc>
          <w:tcPr>
            <w:tcW w:type="dxa" w:w="36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该台设备当前对端为真实装置或替身</w:t>
            </w:r>
          </w:p>
        </w:tc>
        <w:tc>
          <w:tcPr>
            <w:tcW w:type="dxa" w:w="419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调试期常见配置为「PCS 接真实装置、电表先接模拟器」，按台记账即为此场景设计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IP / 端口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真实装置的地址与端口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真实源下可留空，表示已登记、未接线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从站号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Modbus 从站地址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须与装置拨码一致；填错表现为读回全 0 或请求超时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轮询周期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该设备的采集周期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按装置响应能力设定，周期过短将拖慢总线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超时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单次请求超时时间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应小于轮询周期，否则将产生请求累积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模拟源地址 / 端口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模拟态下实际连接的替身地址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启用模拟源时由平台按当前套自动填写，通常无需手工修改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保存结果包含 target 字段，标注端侧实际连接的 host:port。形态为模拟源时，该字段显示替身地址并注明「非真实设备」；保存成功与实际连接目标属两项独立信息，均须明确给出。</w:t>
      </w:r>
    </w:p>
    <w:p>
      <w:pPr/>
      <w:r>
        <w:rPr>
          <w:b/>
        </w:rPr>
        <w:t>注意：</w:t>
      </w:r>
      <w:r>
        <w:t>真实源下清空地址时，平台将删除该设备的已落盘配置文件，避免端侧继续使用已作废的地址。文件不存在即表示本次不接入，不得以默认地址替代。</w:t>
      </w:r>
    </w:p>
    <w:p>
      <w:pPr>
        <w:pStyle w:val="3"/>
      </w:pPr>
      <w:r>
        <w:t>站内设备接入 · ② 点表</w:t>
      </w:r>
    </w:p>
    <w:p>
      <w:pPr/>
      <w:r>
        <w:t>点表是下端的第二份输入，每台一份，与设备清册并列于同一表格：前八列描述设备属性与当前状态，后三列描述所读取的寄存器。</w:t>
      </w:r>
    </w:p>
    <w:p>
      <w:pPr/>
      <w:r>
        <w:t>清册共八列（只读）：设备号、类型、接入形态、额定功率、额定容量、状态、当前功率、说明。合并于同一行的目的在于使「该台设备是否需要操作」可直接判定；设备号是六台设备中唯一不具备业务语义的列，若拆分为两张卡片，则只能依赖该列人工对应。</w:t>
      </w:r>
    </w:p>
    <w:p>
      <w:pPr/>
      <w:r>
        <w:t>点击「编辑」打开全页弹层，其中为九列点表：序号、点名（不可修改）、表、地址、编码、字序、缩放、可写、预检。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360"/>
        <w:gridCol w:w="4533"/>
        <w:gridCol w:w="3853"/>
      </w:tblGrid>
      <w:tr>
        <w:trPr>
          <w:tblHeader w:val="true"/>
          <w:cantSplit w:val="true"/>
        </w:trPr>
        <w:tc>
          <w:tcPr>
            <w:tcW w:type="dxa" w:w="136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列</w:t>
            </w:r>
          </w:p>
        </w:tc>
        <w:tc>
          <w:tcPr>
            <w:tcW w:type="dxa" w:w="453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385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典型错误及后果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表</w:t>
            </w:r>
          </w:p>
        </w:tc>
        <w:tc>
          <w:tcPr>
            <w:tcW w:type="dxa" w:w="453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寄存器区：保持寄存器、输入寄存器、线圈、离散输入</w:t>
            </w:r>
          </w:p>
        </w:tc>
        <w:tc>
          <w:tcPr>
            <w:tcW w:type="dxa" w:w="385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寄存区选择错误将读回其他测点数据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地址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寄存器起始地址</w:t>
            </w:r>
          </w:p>
        </w:tc>
        <w:tc>
          <w:tcPr>
            <w:tcW w:type="dxa" w:w="38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部分装置采用零基址、部分采用一基址，偏差一位将导致全体错位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编码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数据类型与字节序（16 位整型、32 位浮点等）</w:t>
            </w:r>
          </w:p>
        </w:tc>
        <w:tc>
          <w:tcPr>
            <w:tcW w:type="dxa" w:w="38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与装置手册不一致将得到异常数值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字序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32 位量的高低字顺序（high / low）</w:t>
            </w:r>
          </w:p>
        </w:tc>
        <w:tc>
          <w:tcPr>
            <w:tcW w:type="dxa" w:w="38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顺序颠倒表现为数值明显偏大或偏小，且不产生报错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缩放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原始值至工程值的换算关系</w:t>
            </w:r>
          </w:p>
        </w:tc>
        <w:tc>
          <w:tcPr>
            <w:tcW w:type="dxa" w:w="38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须与量程配套核对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可写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该点是否允许下行</w:t>
            </w:r>
          </w:p>
        </w:tc>
        <w:tc>
          <w:tcPr>
            <w:tcW w:type="dxa" w:w="38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可写标识错误将导致下行指令写入错误的寄存器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预检</w:t>
            </w:r>
          </w:p>
        </w:tc>
        <w:tc>
          <w:tcPr>
            <w:tcW w:type="dxa" w:w="45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行内即时提示</w:t>
            </w:r>
          </w:p>
        </w:tc>
        <w:tc>
          <w:tcPr>
            <w:tcW w:type="dxa" w:w="38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仅供操作人员即时参考，权威校验在服务端执行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行序即寄存器索引。下端点表的行不得删除、插入或调整顺序；上端转发表以 IOA 定位，行序无意义，二者规则相反，不可沿用。</w:t>
      </w:r>
    </w:p>
    <w:p>
      <w:pPr/>
      <w:r>
        <w:t>保存点表时，服务端执行完整校验：任一行不合规即整表拒绝，并返回第一处错误及其行号。校验通过后先原子写入文件，再写入数据库；失败时整体回滚。</w:t>
      </w:r>
    </w:p>
    <w:p>
      <w:pPr>
        <w:pStyle w:val="3"/>
      </w:pPr>
      <w:r>
        <w:t>切换真实 / 模拟输入源</w:t>
      </w:r>
    </w:p>
    <w:p>
      <w:pPr/>
      <w:r>
        <w:t>两端形态可分别切换，亦可逐台切换，但不存在仅切换一端的全局开关。「下端模拟、上端真实」是本页唯一会产生误导的组合：上送调度的数据由替身计算得出，而界面显示无异常。整端切换通过接口逐端执行，整片切换提供两个按钮（全部切换到真实源 / 全部切换到模拟源）。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380"/>
        <w:gridCol w:w="1813"/>
        <w:gridCol w:w="5553"/>
      </w:tblGrid>
      <w:tr>
        <w:trPr>
          <w:tblHeader w:val="true"/>
          <w:cantSplit w:val="true"/>
        </w:trPr>
        <w:tc>
          <w:tcPr>
            <w:tcW w:type="dxa" w:w="238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操作</w:t>
            </w:r>
          </w:p>
        </w:tc>
        <w:tc>
          <w:tcPr>
            <w:tcW w:type="dxa" w:w="181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作用范围</w:t>
            </w:r>
          </w:p>
        </w:tc>
        <w:tc>
          <w:tcPr>
            <w:tcW w:type="dxa" w:w="555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逐台修改形态</w:t>
            </w:r>
          </w:p>
        </w:tc>
        <w:tc>
          <w:tcPr>
            <w:tcW w:type="dxa" w:w="181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单台设备</w:t>
            </w:r>
          </w:p>
        </w:tc>
        <w:tc>
          <w:tcPr>
            <w:tcW w:type="dxa" w:w="555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用于调试期混接场景；在弹层内修改「对端形态」后保存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全部切换到…</w:t>
            </w:r>
          </w:p>
        </w:tc>
        <w:tc>
          <w:tcPr>
            <w:tcW w:type="dxa" w:w="18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每台设备</w:t>
            </w:r>
          </w:p>
        </w:tc>
        <w:tc>
          <w:tcPr>
            <w:tcW w:type="dxa" w:w="55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须报告实际完成数量（k/N），如「已切换为真实源 4/6 台」，并注明失败台数与首台失败原因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切换到模拟方向</w:t>
            </w:r>
          </w:p>
        </w:tc>
        <w:tc>
          <w:tcPr>
            <w:tcW w:type="dxa" w:w="18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单台或整片</w:t>
            </w:r>
          </w:p>
        </w:tc>
        <w:tc>
          <w:tcPr>
            <w:tcW w:type="dxa" w:w="55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须二次确认：该组合的界面表现与正常运行最为接近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采集中切换下端</w:t>
            </w:r>
          </w:p>
        </w:tc>
        <w:tc>
          <w:tcPr>
            <w:tcW w:type="dxa" w:w="18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—</w:t>
            </w:r>
          </w:p>
        </w:tc>
        <w:tc>
          <w:tcPr>
            <w:tcW w:type="dxa" w:w="55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服务端直接拒绝（409），按钮置灰：采集器仍按旧参数读写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采集中切换上端</w:t>
            </w:r>
          </w:p>
        </w:tc>
        <w:tc>
          <w:tcPr>
            <w:tcW w:type="dxa" w:w="18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—</w:t>
            </w:r>
          </w:p>
        </w:tc>
        <w:tc>
          <w:tcPr>
            <w:tcW w:type="dxa" w:w="55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允许：网关不做热更新，修改不会在运行中切换对端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批量操作的主要风险并非失败，而是部分失败而界面显示全部成功。现场遗留的半真实、半模拟状态事后难以复现，因此每次整片切换均须报告实际成功台数。</w:t>
      </w:r>
    </w:p>
    <w:p>
      <w:pPr>
        <w:pStyle w:val="3"/>
      </w:pPr>
      <w:r>
        <w:t>两端组合的提示</w:t>
      </w:r>
    </w:p>
    <w:p>
      <w:pPr/>
      <w:r>
        <w:t>两端形态的组合由后端计算，给出三种级别的提示，界面不自行推断：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606"/>
        <w:gridCol w:w="1134"/>
        <w:gridCol w:w="6005"/>
      </w:tblGrid>
      <w:tr>
        <w:trPr>
          <w:tblHeader w:val="true"/>
          <w:cantSplit w:val="true"/>
        </w:trPr>
        <w:tc>
          <w:tcPr>
            <w:tcW w:type="dxa" w:w="260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组合</w:t>
            </w:r>
          </w:p>
        </w:tc>
        <w:tc>
          <w:tcPr>
            <w:tcW w:type="dxa" w:w="11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级别</w:t>
            </w:r>
          </w:p>
        </w:tc>
        <w:tc>
          <w:tcPr>
            <w:tcW w:type="dxa" w:w="6005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提示内容</w:t>
            </w:r>
          </w:p>
        </w:tc>
      </w:tr>
      <w:tr>
        <w:trPr>
          <w:cantSplit w:val="true"/>
        </w:trPr>
        <w:tc>
          <w:tcPr>
            <w:tcW w:type="dxa" w:w="2606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下端模拟 → 上端真实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红</w:t>
            </w:r>
          </w:p>
        </w:tc>
        <w:tc>
          <w:tcPr>
            <w:tcW w:type="dxa" w:w="6005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上送调度的数据由替身计算得出，非现场实测值</w:t>
            </w:r>
          </w:p>
        </w:tc>
      </w:tr>
      <w:tr>
        <w:trPr>
          <w:cantSplit w:val="true"/>
        </w:trPr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下端真实 → 上端模拟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灰</w:t>
            </w:r>
          </w:p>
        </w:tc>
        <w:tc>
          <w:tcPr>
            <w:tcW w:type="dxa" w:w="6005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现场数据仅送本机模拟调度，不外发（调度开通前的常规调试态）</w:t>
            </w:r>
          </w:p>
        </w:tc>
      </w:tr>
      <w:tr>
        <w:trPr>
          <w:cantSplit w:val="true"/>
        </w:trPr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上端未登记链路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橙</w:t>
            </w:r>
          </w:p>
        </w:tc>
        <w:tc>
          <w:tcPr>
            <w:tcW w:type="dxa" w:w="6005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网关将采用内置默认值（真实源、2404、CA 1），建议联调期显式设为模拟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若全部标注为红色，则提示失去区分度，因此仅第一种为红色。上端不绘制连接状态指示灯：平台不回采上端链路的连接数量，仅以一行文字如实说明，请在网关侧查看网关的 [CONN] 日志行。指示一个无法追溯来源的绿灯，其误导性大于不提供指示。</w:t>
      </w:r>
    </w:p>
    <w:p>
      <w:pPr>
        <w:pStyle w:val="2"/>
      </w:pPr>
      <w:r>
        <w:t>模拟源与联调</w:t>
      </w:r>
    </w:p>
    <w:p>
      <w:pPr>
        <w:pStyle w:val="3"/>
      </w:pPr>
      <w:r>
        <w:t>单一面板管理两端</w:t>
      </w:r>
    </w:p>
    <w:p>
      <w:pPr/>
      <w:r>
        <w:t>模拟输入源为设备管理页最后一张卡片，同时管理两端：启用时两端一并切换至模拟源，按当前套自动填写模拟专用栏位，并拉起整条链路；关闭时两端一并切回真实源，并停止链路。</w:t>
      </w:r>
    </w:p>
    <w:p>
      <w:pPr/>
      <w:r>
        <w:t>该设计的目的在于使「仅切换一端」无法发生，而非节省版面。若两端分属两个面板，则存在「下端模拟、上端真实」的配置可能，此时上送调度的数据为替身数据。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9809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devices_sim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8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5-1　页尾「模拟输入源」面板：状态标识、套名、端口计划表</w:t>
      </w:r>
    </w:p>
    <w:p>
      <w:pPr/>
      <w:r>
        <w:rPr>
          <w:b/>
        </w:rPr>
        <w:t>注意：</w:t>
      </w:r>
      <w:r>
        <w:t>上图为模拟源已启用、链路正常运行的状态：状态标识显示在线进程数与套名（图中为 9/9、套 4），端口计划表给出每台设备在当前套下应填写的模拟地址与端口（自 1802 起逐台递增），链路进程表逐行报告各角色的实际运行情况。两表并列的意义在于区分「计划」与「现实」——若仅有计划表，操作人员会认为端口已有进程应答，实际检查时却全部为空。</w:t>
      </w:r>
    </w:p>
    <w:p>
      <w:pPr>
        <w:pStyle w:val="3"/>
      </w:pPr>
      <w:r>
        <w:t>四项操作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813"/>
        <w:gridCol w:w="5213"/>
        <w:gridCol w:w="2720"/>
      </w:tblGrid>
      <w:tr>
        <w:trPr>
          <w:tblHeader w:val="true"/>
          <w:cantSplit w:val="true"/>
        </w:trPr>
        <w:tc>
          <w:tcPr>
            <w:tcW w:type="dxa" w:w="181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按钮</w:t>
            </w:r>
          </w:p>
        </w:tc>
        <w:tc>
          <w:tcPr>
            <w:tcW w:type="dxa" w:w="521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执行内容</w:t>
            </w:r>
          </w:p>
        </w:tc>
        <w:tc>
          <w:tcPr>
            <w:tcW w:type="dxa" w:w="272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不影响的范围</w:t>
            </w:r>
          </w:p>
        </w:tc>
      </w:tr>
      <w:tr>
        <w:trPr>
          <w:cantSplit w:val="true"/>
        </w:trPr>
        <w:tc>
          <w:tcPr>
            <w:tcW w:type="dxa" w:w="181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启用模拟源</w:t>
            </w:r>
          </w:p>
        </w:tc>
        <w:tc>
          <w:tcPr>
            <w:tcW w:type="dxa" w:w="521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两端切换至模拟源、按当前套填写模拟专用列、重写两份落盘文件、拉起整条链路</w:t>
            </w:r>
          </w:p>
        </w:tc>
        <w:tc>
          <w:tcPr>
            <w:tcW w:type="dxa" w:w="272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不修改真实栏的任何字段</w:t>
            </w:r>
          </w:p>
        </w:tc>
      </w:tr>
      <w:tr>
        <w:trPr>
          <w:cantSplit w:val="true"/>
        </w:trPr>
        <w:tc>
          <w:tcPr>
            <w:tcW w:type="dxa" w:w="18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换一套</w:t>
            </w:r>
          </w:p>
        </w:tc>
        <w:tc>
          <w:tcPr>
            <w:tcW w:type="dxa" w:w="52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下端端口段整体切换一档：1502 → 1602 → 1702 → 1802 循环</w:t>
            </w:r>
          </w:p>
        </w:tc>
        <w:tc>
          <w:tcPr>
            <w:tcW w:type="dxa" w:w="272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不改变形态、不迁移进程（仅换表）</w:t>
            </w:r>
          </w:p>
        </w:tc>
      </w:tr>
      <w:tr>
        <w:trPr>
          <w:cantSplit w:val="true"/>
        </w:trPr>
        <w:tc>
          <w:tcPr>
            <w:tcW w:type="dxa" w:w="18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换一个进程</w:t>
            </w:r>
          </w:p>
        </w:tc>
        <w:tc>
          <w:tcPr>
            <w:tcW w:type="dxa" w:w="52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停止现有进程，按当前套重新拉起整条链路</w:t>
            </w:r>
          </w:p>
        </w:tc>
        <w:tc>
          <w:tcPr>
            <w:tcW w:type="dxa" w:w="272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不修改表（仅迁移进程）</w:t>
            </w:r>
          </w:p>
        </w:tc>
      </w:tr>
      <w:tr>
        <w:trPr>
          <w:cantSplit w:val="true"/>
        </w:trPr>
        <w:tc>
          <w:tcPr>
            <w:tcW w:type="dxa" w:w="18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关闭模拟源</w:t>
            </w:r>
          </w:p>
        </w:tc>
        <w:tc>
          <w:tcPr>
            <w:tcW w:type="dxa" w:w="52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两端切换回真实源，停止链路</w:t>
            </w:r>
          </w:p>
        </w:tc>
        <w:tc>
          <w:tcPr>
            <w:tcW w:type="dxa" w:w="272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不清除真实栏，真实配置未被修改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「换一套」与「换一个进程」须拆分为两个按钮，二者修改的对象不同：前者修改表中记录的端口段，后者使运行中的进程迁移至新端口段。若合并为单一操作，必然出现两类静默故障：或「表已变更而进程未变更，两套并行运行」，或「为切换套而中断正在查看的采集」。拆分后，若进程仍运行于旧套，面板将明确提示「进程还在套 3」并给出应点击的按钮。</w:t>
      </w:r>
    </w:p>
    <w:p>
      <w:pPr/>
      <w:r>
        <w:rPr>
          <w:b/>
        </w:rPr>
        <w:t>注意：</w:t>
      </w:r>
      <w:r>
        <w:t>当前套的记录保存在数据库（meta.sim_preset）中，不保存于内存。否则进程重启后「换一套」将每次自第一套开始，等同未执行。</w:t>
      </w:r>
    </w:p>
    <w:p>
      <w:pPr>
        <w:pStyle w:val="3"/>
      </w:pPr>
      <w:r>
        <w:t>操作反馈与执行方式</w:t>
      </w:r>
    </w:p>
    <w:p>
      <w:pPr/>
      <w:r>
        <w:t>涉及进程的操作（启用模拟源、换一个进程）不在请求线程内等待完成：服务端接收请求后立即返回，链路的拉起与停止由后台线程执行，界面在返回后轮询进度，直至后台执行完毕再收起进度提示。点击后一百毫秒内即出现进度条与已耗秒数，不会出现点击后长时间无任何反馈的情形。</w:t>
      </w:r>
    </w:p>
    <w:p>
      <w:pPr/>
      <w:r>
        <w:rPr>
          <w:b/>
        </w:rPr>
        <w:t>注意：</w:t>
      </w:r>
      <w:r>
        <w:rPr>
          <w:b/>
        </w:rPr>
        <w:t>返回成功不等于链路已经起来。</w:t>
      </w:r>
      <w:r>
        <w:t xml:space="preserve"> 这两个操作在后台开始执行即返回成功响应，链路是否真的拉起须以后续轮询到的结果为准。后台正在执行时若再次提交同类操作，服务端直接拒绝而不排队——排队只会让人等两倍的时间，且后一次结果将覆盖前一次。</w:t>
      </w:r>
    </w:p>
    <w:p>
      <w:pPr/>
      <w:r>
        <w:t>面板顶部设有一行状态，一次给出四项信息，缺一不可：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247"/>
        <w:gridCol w:w="3626"/>
        <w:gridCol w:w="4873"/>
      </w:tblGrid>
      <w:tr>
        <w:trPr>
          <w:tblHeader w:val="true"/>
          <w:cantSplit w:val="true"/>
        </w:trPr>
        <w:tc>
          <w:tcPr>
            <w:tcW w:type="dxa" w:w="1247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项</w:t>
            </w:r>
          </w:p>
        </w:tc>
        <w:tc>
          <w:tcPr>
            <w:tcW w:type="dxa" w:w="36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内容</w:t>
            </w:r>
          </w:p>
        </w:tc>
        <w:tc>
          <w:tcPr>
            <w:tcW w:type="dxa" w:w="48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为何必须给出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形态</w:t>
            </w:r>
          </w:p>
        </w:tc>
        <w:tc>
          <w:tcPr>
            <w:tcW w:type="dxa" w:w="36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下端与上端当前为真实源还是模拟源</w:t>
            </w:r>
          </w:p>
        </w:tc>
        <w:tc>
          <w:tcPr>
            <w:tcW w:type="dxa" w:w="48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只给进程数，看不出这一屏的数来自现场还是替身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链路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在线进程数 / 期望进程数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只给总数看不出缺的是哪一类角色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采集器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在采、已停、失败及其原因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进程都在跑而采集器没起时，数据同样不更新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实时库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已入库行数与最近更新时间</w:t>
            </w:r>
          </w:p>
        </w:tc>
        <w:tc>
          <w:tcPr>
            <w:tcW w:type="dxa" w:w="48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唯一的客观证据：行数不涨即数据确实没在推进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状态行中「更新于」取的是最近一次数据入库时间，而非界面的刷新时间。二者在采集中断后会持续分离：界面每 5 s 刷新一次，若标注界面刷新时间，则页面永远显示「更新于刚才」，采集中断这一事实在界面上不可见。</w:t>
      </w:r>
    </w:p>
    <w:p>
      <w:pPr>
        <w:pStyle w:val="3"/>
      </w:pPr>
      <w:r>
        <w:t>链路所需的五个进程</w:t>
      </w:r>
    </w:p>
    <w:p>
      <w:pPr/>
      <w:r>
        <w:t>表不是数据。启用模拟源仅修改配置：即使表已填写、状态标识已变更，页面仍可能没有任何实时值，原因是相关进程未启动。完整的模拟链路由五个角色构成：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134"/>
        <w:gridCol w:w="2040"/>
        <w:gridCol w:w="3059"/>
        <w:gridCol w:w="3513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序</w:t>
            </w:r>
          </w:p>
        </w:tc>
        <w:tc>
          <w:tcPr>
            <w:tcW w:type="dxa" w:w="204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角色</w:t>
            </w:r>
          </w:p>
        </w:tc>
        <w:tc>
          <w:tcPr>
            <w:tcW w:type="dxa" w:w="305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程序</w:t>
            </w:r>
          </w:p>
        </w:tc>
        <w:tc>
          <w:tcPr>
            <w:tcW w:type="dxa" w:w="351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①</w:t>
            </w:r>
          </w:p>
        </w:tc>
        <w:tc>
          <w:tcPr>
            <w:tcW w:type="dxa" w:w="204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实时库初始化器</w:t>
            </w:r>
          </w:p>
        </w:tc>
        <w:tc>
          <w:tcPr>
            <w:tcW w:type="dxa" w:w="305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rtdb_initializer.exe</w:t>
            </w:r>
          </w:p>
        </w:tc>
        <w:tc>
          <w:tcPr>
            <w:tcW w:type="dxa" w:w="351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常驻运行，创建 RT_DB 共享内存段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②</w:t>
            </w:r>
          </w:p>
        </w:tc>
        <w:tc>
          <w:tcPr>
            <w:tcW w:type="dxa" w:w="20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设备替身 ×N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modbus_slave.py --port 该台模拟口</w:t>
            </w:r>
          </w:p>
        </w:tc>
        <w:tc>
          <w:tcPr>
            <w:tcW w:type="dxa" w:w="35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每台启用设备一个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③</w:t>
            </w:r>
          </w:p>
        </w:tc>
        <w:tc>
          <w:tcPr>
            <w:tcW w:type="dxa" w:w="20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采集器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main_field.exe --device modbus</w:t>
            </w:r>
          </w:p>
        </w:tc>
        <w:tc>
          <w:tcPr>
            <w:tcW w:type="dxa" w:w="35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写入实录 CSV 并写入实时库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④</w:t>
            </w:r>
          </w:p>
        </w:tc>
        <w:tc>
          <w:tcPr>
            <w:tcW w:type="dxa" w:w="20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上端从站网关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iec104_gateway.exe</w:t>
            </w:r>
          </w:p>
        </w:tc>
        <w:tc>
          <w:tcPr>
            <w:tcW w:type="dxa" w:w="35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在监听端口等待调度连接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⑤</w:t>
            </w:r>
          </w:p>
        </w:tc>
        <w:tc>
          <w:tcPr>
            <w:tcW w:type="dxa" w:w="20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模拟主站</w:t>
            </w:r>
          </w:p>
        </w:tc>
        <w:tc>
          <w:tcPr>
            <w:tcW w:type="dxa" w:w="305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iec104_master.exe</w:t>
            </w:r>
          </w:p>
        </w:tc>
        <w:tc>
          <w:tcPr>
            <w:tcW w:type="dxa" w:w="35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模拟调度，连接 ④ 读取上送数据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① 须常驻运行：Windows 平台上 RT_DB 为页面文件映射对象，最后一个句柄关闭时即被销毁。若初始化器创建后立即退出，后续启动的网关将视为「共享内存不存在」。</w:t>
      </w:r>
    </w:p>
    <w:p>
      <w:pPr/>
      <w:r>
        <w:t>③ 通过平台内部实时引擎启动，不由页面直接创建进程：采集器是唯一入库通道（写入 CSV，并由尾随线程增量导入数据库）；独立启动的采集器只能产生一份无人读取的 CSV 文件。</w:t>
      </w:r>
    </w:p>
    <w:p>
      <w:pPr>
        <w:pStyle w:val="3"/>
      </w:pPr>
      <w:r>
        <w:t>上端上送数值的来源</w:t>
      </w:r>
    </w:p>
    <w:p>
      <w:pPr/>
      <w:r>
        <w:t>采集器在写入实录文件的同时，把当拍采集值写入 RT_DB 共享内存段，上端网关自该段取数后上送。因此调度侧收到的遥测值就是本拍的采集值，而非初始化的固定值。</w:t>
      </w:r>
    </w:p>
    <w:p>
      <w:pPr/>
      <w:r>
        <w:rPr>
          <w:b/>
        </w:rPr>
        <w:t>注意：</w:t>
      </w:r>
      <w:r>
        <w:t>若采集器不带写入共享内存这一环节，网关仍能正常启动、总召与周期上送全部成功、品质位全部标为有效，而上送的数值是共享内存创建时的初值。这是最不易察觉的一类失效：链路一切正常，数是错的，且没有任何报错。因此核对上端数据时，必须比对数值本身，不能只核对链路是否连通。</w:t>
      </w:r>
    </w:p>
    <w:p>
      <w:pPr/>
      <w:r>
        <w:t>只读巡检不写入下行指令区。下行指令区中功率指令为 0 的语义是「要求停机」，而非「本次没有指令」，两者不可混淆。此外，无来源的配置类量（容量、时间常数、爬坡率、待机功率、效率、SOC 上下限）不在采集侧写入，保留初始化器写入的初值。</w:t>
      </w:r>
    </w:p>
    <w:p>
      <w:pPr>
        <w:pStyle w:val="3"/>
      </w:pPr>
      <w:r>
        <w:t>入库中断的自愈</w:t>
      </w:r>
    </w:p>
    <w:p>
      <w:pPr/>
      <w:r>
        <w:t>采集器写入实录文件后，由尾随线程增量导入数据库。写库过程中若出现可恢复的故障（如数据库瞬时只读），线程不终止，按周期重试直至恢复，并把连续重试次数写入采集状态；不可恢复的故障（约束冲突、SQL 编写错误、类型错误）仍然立即停止——对这类故障重试只会把缺陷藏起来。</w:t>
      </w:r>
    </w:p>
    <w:p>
      <w:pPr/>
      <w:r>
        <w:rPr>
          <w:b/>
        </w:rPr>
        <w:t>注意：</w:t>
      </w:r>
      <w:r>
        <w:t>读取断点的位置只在写入成功后才推进。若在写库之前就推进断点，则一次写入失败意味着这批数据被永久跳过，表现为「采集中断后恢复，中间那段数据再也没有出现」，且无任何报错。推进断点放在写入成功之后，失败时同一批数据原样重放。</w:t>
      </w:r>
    </w:p>
    <w:p>
      <w:pPr/>
      <w:r>
        <w:t>重试次数必须显示在状态行，否则「一直在重试」与「一直在正常采集」在界面上无从区分。采集状态因此分为在采、停滞（可恢复，正在重试）、失败（已停止）三档，其中停滞以黄色标识，与失败的红色标识区分。</w:t>
      </w:r>
    </w:p>
    <w:p>
      <w:pPr>
        <w:pStyle w:val="3"/>
      </w:pPr>
      <w:r>
        <w:t>计划表与进程表</w:t>
      </w:r>
    </w:p>
    <w:p>
      <w:pPr/>
      <w:r>
        <w:t>面板包含两张表，二者均为必需：</w:t>
      </w:r>
    </w:p>
    <w:p>
      <w:pPr>
        <w:ind w:left="420" w:firstLine="0"/>
      </w:pPr>
      <w:r>
        <w:t xml:space="preserve">· </w:t>
      </w:r>
      <w:r>
        <w:rPr>
          <w:b/>
        </w:rPr>
        <w:t>端口计划表</w:t>
      </w:r>
      <w:r>
        <w:t>表示计划状态：按当前套，各设备应填写的模拟地址与端口。</w:t>
      </w:r>
    </w:p>
    <w:p>
      <w:pPr>
        <w:ind w:left="420" w:firstLine="0"/>
      </w:pPr>
      <w:r>
        <w:t xml:space="preserve">· </w:t>
      </w:r>
      <w:r>
        <w:rPr>
          <w:b/>
        </w:rPr>
        <w:t>链路进程表</w:t>
      </w:r>
      <w:r>
        <w:t>表示实际状态：哪些进程正在监听、哪些已退出、停用设备为何不适用。</w:t>
      </w:r>
    </w:p>
    <w:p>
      <w:pPr/>
      <w:r>
        <w:t>若仅提供计划表，操作人员会认为端口已有进程应答，而执行 netstat 检查时全部为空，属于典型的「表面正常运行」类失效。</w:t>
      </w:r>
    </w:p>
    <w:p>
      <w:pPr/>
      <w:r>
        <w:rPr>
          <w:b/>
        </w:rPr>
        <w:t>注意：</w:t>
      </w:r>
      <w:r>
        <w:t>状态标识显示 9/10 或 9/9 时，分母为期望数而非设备总数。停用设备本不应启动，计入分母将使状态显示为「缺失一个」，而两类情形的处置方式完全不同：前者需查阅日志，后者无需处理。因此进程表中该设备显示为「不适用」。</w:t>
      </w:r>
    </w:p>
    <w:p>
      <w:pPr>
        <w:pStyle w:val="3"/>
      </w:pPr>
      <w:r>
        <w:t>已知边界</w:t>
      </w:r>
    </w:p>
    <w:p>
      <w:pPr/>
      <w:r>
        <w:rPr>
          <w:b/>
        </w:rPr>
        <w:t>采集器一次仅连接一台设备。</w:t>
      </w:r>
      <w:r>
        <w:t xml:space="preserve"> 下端切换至模拟源后，即使启动了六个替身，实际被采集的仅有一台，其余设备处于「已监听、未被采集」状态。面板对此有明确说明，不表示六台设备均在采集。</w:t>
      </w:r>
    </w:p>
    <w:p>
      <w:pPr/>
      <w:r>
        <w:rPr>
          <w:b/>
        </w:rPr>
        <w:t>后端重启不等于链路进程退出。</w:t>
      </w:r>
      <w:r>
        <w:t xml:space="preserve"> 替身、采集器、网关、模拟主站均为独立进程，后端退出后继续运行。平台启动时按记录的 pid 认领链路，因此重启后的数秒内，状态标识仍显示链路已启动。</w:t>
      </w:r>
    </w:p>
    <w:p>
      <w:pPr/>
      <w:r>
        <w:rPr>
          <w:b/>
        </w:rPr>
        <w:t>关闭模拟源后不显示进程表。</w:t>
      </w:r>
      <w:r>
        <w:t xml:space="preserve"> 此时每个角色均显示为「已退出」，与故障状态在视觉上难以区分，而实际情况为未启用。该情形由状态标识「链路未启动」表达，无需逐行重复。</w:t>
      </w:r>
    </w:p>
    <w:p>
      <w:pPr>
        <w:pStyle w:val="2"/>
      </w:pPr>
      <w:r>
        <w:t>查看实时数据</w:t>
      </w:r>
    </w:p>
    <w:p>
      <w:pPr>
        <w:pStyle w:val="3"/>
      </w:pPr>
      <w:r>
        <w:t>总览</w:t>
      </w:r>
    </w:p>
    <w:p>
      <w:pPr/>
      <w:r>
        <w:t>总览页用于回答「当前运行工况如何」。页面自上而下分为五个区域，每个区域仅回答一个问题：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926"/>
        <w:gridCol w:w="4193"/>
        <w:gridCol w:w="3626"/>
      </w:tblGrid>
      <w:tr>
        <w:trPr>
          <w:tblHeader w:val="true"/>
          <w:cantSplit w:val="true"/>
        </w:trPr>
        <w:tc>
          <w:tcPr>
            <w:tcW w:type="dxa" w:w="19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区域</w:t>
            </w:r>
          </w:p>
        </w:tc>
        <w:tc>
          <w:tcPr>
            <w:tcW w:type="dxa" w:w="419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显示内容</w:t>
            </w:r>
          </w:p>
        </w:tc>
        <w:tc>
          <w:tcPr>
            <w:tcW w:type="dxa" w:w="36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读取方法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四指标卡</w:t>
            </w:r>
          </w:p>
        </w:tc>
        <w:tc>
          <w:tcPr>
            <w:tcW w:type="dxa" w:w="419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关口功率、储能 SOC、当日净收益、系统状态</w:t>
            </w:r>
          </w:p>
        </w:tc>
        <w:tc>
          <w:tcPr>
            <w:tcW w:type="dxa" w:w="36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各卡右上角带状态标识：未越限、充电、放电、节省、告警条数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运行模式卡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当前业务模式、控制目标、约束条件、绑定策略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策略名称与参数由后端确定，界面仅作展示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能量流图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光伏、储能、负荷、电网四路功率与流向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箭头粗细表示功率大小，方向文字标注于箭头杆内，停机时无箭头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本拍闭环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本拍指令、实际功率、权限区间、归因、四个布尔标志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用于确认本拍是否受限及受限环节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安全红线 / 经济性 / 告警分档</w:t>
            </w:r>
          </w:p>
        </w:tc>
        <w:tc>
          <w:tcPr>
            <w:tcW w:type="dxa" w:w="41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四项计数、收益构成、告警条数</w:t>
            </w:r>
          </w:p>
        </w:tc>
        <w:tc>
          <w:tcPr>
            <w:tcW w:type="dxa" w:w="36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红线四项计数须全部为 0 方为通过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本拍闭环的四个布尔标志是全页最关键的状态信息，其含义固定如下：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700"/>
        <w:gridCol w:w="3966"/>
        <w:gridCol w:w="408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标志</w:t>
            </w:r>
          </w:p>
        </w:tc>
        <w:tc>
          <w:tcPr>
            <w:tcW w:type="dxa" w:w="396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408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为真时的处置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clamped</w:t>
            </w:r>
          </w:p>
        </w:tc>
        <w:tc>
          <w:tcPr>
            <w:tcW w:type="dxa" w:w="396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指令被权限区间截断</w:t>
            </w:r>
          </w:p>
        </w:tc>
        <w:tc>
          <w:tcPr>
            <w:tcW w:type="dxa" w:w="408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属正常现象：算法请求功率超出当前允许范围，由安全层收窄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safety_clip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被安全约束强制收窄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须查明原因为 BMS 禁止充放或变压器过载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state_gated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被状态机门控（如禁止充放）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须检查设备状态与策略门控条件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hold_last</w:t>
            </w:r>
          </w:p>
        </w:tc>
        <w:tc>
          <w:tcPr>
            <w:tcW w:type="dxa" w:w="39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保持上一拍输出</w:t>
            </w:r>
          </w:p>
        </w:tc>
        <w:tc>
          <w:tcPr>
            <w:tcW w:type="dxa" w:w="40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须检查输入是否丢失、策略是否退化为保持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归因字段（reason）标明本拍被收窄的具体环节，可在策略配置页对应至具体策略。</w:t>
      </w:r>
    </w:p>
    <w:p>
      <w:pPr>
        <w:pStyle w:val="3"/>
      </w:pPr>
      <w:r>
        <w:t>实时监控</w:t>
      </w:r>
    </w:p>
    <w:p>
      <w:pPr/>
      <w:r>
        <w:t>实时监控页用于查看某一采样时刻的完整工况。</w:t>
      </w:r>
    </w:p>
    <w:p>
      <w:pPr/>
      <w:r>
        <w:t>页面顶部设有一张说明卡，标明</w:t>
      </w:r>
      <w:r>
        <w:rPr>
          <w:b/>
        </w:rPr>
        <w:t>这一页当前在看哪份数据</w:t>
      </w:r>
      <w:r>
        <w:t>：数据集名称、样本量、时刻口径，并在实时采集正在写入其他数据集时给出提示。该卡片不可省略，原因如下：本平台中「实时采集写入的数据集」与「界面默认查看的数据集」并不必然是同一份——采集写入的是运行数据集，而默认查看的数据集由后端依据当前引擎模式确定。若页面上没有一处说明，操作人员会把离线仿真数据当作现场实测值读取，而两者在界面上没有任何视觉差别。</w:t>
      </w:r>
    </w:p>
    <w:p>
      <w:pPr/>
      <w:r>
        <w:rPr>
          <w:b/>
        </w:rPr>
        <w:t>注意：</w:t>
      </w:r>
      <w:r>
        <w:t>说明卡只做标注，不提供切换入口。本平台刻意不设数据集选择器：数据的性质由后端确定，不由界面指定，以免同一时刻的两个页面显示不同数据集而互不察觉。该卡片的徽章只写「实时数据 / 离线数据」，不写「运行模式 / 仿真模式」——后者是研发语境，且「运行模式」一词已被业务侧的峰谷套利、削峰填谷占用，同屏出现两个含义必被误读。</w:t>
      </w:r>
    </w:p>
    <w:p>
      <w:pPr/>
      <w:r>
        <w:t>页面顶部的时间查询控件最易产生误解，其口径说明如下：</w:t>
      </w:r>
    </w:p>
    <w:p>
      <w:pPr>
        <w:ind w:left="420" w:firstLine="0"/>
      </w:pPr>
      <w:r>
        <w:t xml:space="preserve">· </w:t>
      </w:r>
      <w:r>
        <w:t>滑块取值为</w:t>
      </w:r>
      <w:r>
        <w:rPr>
          <w:b/>
        </w:rPr>
        <w:t>采样点下标</w:t>
      </w:r>
      <w:r>
        <w:t>，并非秒。每个位置对应接口返回的第 i 个采样点。</w:t>
      </w:r>
    </w:p>
    <w:p>
      <w:pPr>
        <w:ind w:left="420" w:firstLine="0"/>
      </w:pPr>
      <w:r>
        <w:t xml:space="preserve">· </w:t>
      </w:r>
      <w:r>
        <w:t>数据存在断档时，按下标铺格仅表现为个别位置间隔较大；若按秒铺格，则多数位置取不到数据，出现拖动有响应而画面无变化的现象，易被误判为界面卡顿。</w:t>
      </w:r>
    </w:p>
    <w:p>
      <w:pPr>
        <w:ind w:left="420" w:firstLine="0"/>
      </w:pPr>
      <w:r>
        <w:t xml:space="preserve">· </w:t>
      </w:r>
      <w:r>
        <w:t>「跳到最新」每次实时读取末点值，不使用缓存。时间轴拖动后缓存中为旧值，使用缓存将导致跳回历史时刻。</w:t>
      </w:r>
    </w:p>
    <w:p>
      <w:pPr/>
      <w:r>
        <w:t>切换至其他页面后再返回，页面保留上次查看的采样时刻，不自动跳至最新。</w:t>
      </w:r>
    </w:p>
    <w:p>
      <w:pPr/>
      <w:r>
        <w:t>时刻标签的口径须特别注意：</w:t>
      </w:r>
      <w:r>
        <w:rPr>
          <w:b/>
        </w:rPr>
        <w:t>一天的最后一拍显示为 24:00，而非 00:00。</w:t>
      </w:r>
      <w:r>
        <w:t>一日仿真的末拍为第 86400 秒，按小时取模折回即为 00:00，与当天第一拍标签完全相同，表现为「拖到最右端仍是 00:00、读数不随时间变化」。86400 是第一天的终点而非第二天的起点，因此该拍标注为 24:00；跨天数据集继续累加，并在标签前加天数前缀（如 D2 00:00、D7 24:00）。运行态数据采用墙钟时间，显示完整日期时间，不受此规则影响。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9809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ltim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98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6-1　实时监控页：数据集说明卡、时刻查询、设备实时量、储能闭环、全天 SOC 走势</w:t>
      </w:r>
    </w:p>
    <w:p>
      <w:pPr/>
      <w:r>
        <w:t>页面下半部分为设备实时量（含品质位）、储能闭环以及全天 SOC 走势图，游标指向当前采样时刻。</w:t>
      </w:r>
    </w:p>
    <w:p>
      <w:pPr>
        <w:pStyle w:val="3"/>
      </w:pPr>
      <w:r>
        <w:t>历史曲线</w:t>
      </w:r>
    </w:p>
    <w:p>
      <w:pPr/>
      <w:r>
        <w:t>历史曲线页用于多量横向对照。七条曲线可多选叠加：关口功率、负荷、光伏、储能实际、储能指令、权限上界、权限下界；另设 SOC 专图。采样点数可在 48 至 960 之间调整。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rves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6-2　历史曲线页：多选曲线叠加与游标联动</w:t>
      </w:r>
    </w:p>
    <w:p>
      <w:pPr/>
      <w:r>
        <w:t>曲线支持游标联动：鼠标悬停时同时显示该时刻各系列数值，无需逐条比对。各图均可导出为 PNG（由前端生成，导出前将主题色解析为当前色值，避免导出图出现色块失真）。</w:t>
      </w:r>
    </w:p>
    <w:p>
      <w:pPr/>
      <w:r>
        <w:rPr>
          <w:b/>
        </w:rPr>
        <w:t>注意：</w:t>
      </w:r>
      <w:r>
        <w:t>纵轴刻度与数据类型的对应关系由后端返回的量纲确定。同一图内不同量纲的曲线（功率 kW 与 SOC %）不会共用同一纵轴。</w:t>
      </w:r>
    </w:p>
    <w:p>
      <w:pPr>
        <w:pStyle w:val="3"/>
      </w:pPr>
      <w:r>
        <w:t>装配视图</w:t>
      </w:r>
    </w:p>
    <w:p>
      <w:pPr/>
      <w:r>
        <w:t>装配视图以等轴测爆炸图呈现柜体结构，包含四个部位、十四个部件、七十八个测点。点击任一部件，下方「部件详情」列出该部件的全部测点定义。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ructur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6-3　装配视图：四个部位的等轴测爆炸图</w:t>
      </w:r>
    </w:p>
    <w:p>
      <w:pPr/>
      <w:r>
        <w:t>三种颜色的含义固定，不属配色偏好：绿色表示具备实时数据源，灰色表示无实时数据源（需设备侧接入），红色表示取数失败或存在告警。</w:t>
      </w:r>
    </w:p>
    <w:p>
      <w:pPr/>
      <w:r>
        <w:rPr>
          <w:b/>
        </w:rPr>
        <w:t>注意：</w:t>
      </w:r>
      <w:r>
        <w:t>多数部件显示为灰色属客观状态，不表示功能未完成。十四个部件中仅五个可获得实时值，其余九个的点位须经设备侧 Modbus 接入后方有数据。将其显示为正常状态，等同于表示该部件正在传输数据，属数据失真；且系统不产生任何报错，界面亦无明显异常，是本系统须重点避免的失效方式。</w:t>
      </w:r>
    </w:p>
    <w:p>
      <w:pPr>
        <w:pStyle w:val="3"/>
      </w:pPr>
      <w:r>
        <w:t>一次接线图</w:t>
      </w:r>
    </w:p>
    <w:p>
      <w:pPr/>
      <w:r>
        <w:t>一次接线图呈现电气拓扑关系：十二个节点、十二条连接。实线为主电流路径，虚线为辅助挂载（不导电），节点标注当前功率，下方给出九条连接清单。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iring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6-4　一次接线图：主电流路径与辅助挂载</w:t>
      </w:r>
    </w:p>
    <w:p>
      <w:pPr/>
      <w:r>
        <w:rPr>
          <w:b/>
        </w:rPr>
        <w:t>注意：</w:t>
      </w:r>
      <w:r>
        <w:t>接线图与总览页的能量流图不是同一类图形。能量流图为能流示意，回答「电能流向与流量」；接线图为拓扑事实，回答「柜内设备构成与连接关系」。辅助舱的消防、空调、门禁设备安装于柜外，以虚线表示，不经过主电流路径，绘入主链将造成电气关系错误。</w:t>
      </w:r>
    </w:p>
    <w:p>
      <w:pPr>
        <w:pStyle w:val="2"/>
      </w:pPr>
      <w:r>
        <w:t>告警中心</w:t>
      </w:r>
    </w:p>
    <w:p>
      <w:pPr>
        <w:pStyle w:val="3"/>
      </w:pPr>
      <w:r>
        <w:t>筛选</w:t>
      </w:r>
    </w:p>
    <w:p>
      <w:pPr/>
      <w:r>
        <w:t>告警中心提供等级与来源两个维度的筛选，两个维度可任意组合（AND 关系），再次点击已选中的取值即取消该条件。「全部」表示该维度不参与筛选。</w:t>
      </w: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larms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7-1　告警中心：双维筛选、分类统计、24 h 分布与明细</w:t>
      </w:r>
    </w:p>
    <w:p>
      <w:pPr/>
      <w:r>
        <w:t>按等级与按来源的两张分类统计表支持点击即筛选。统计数字仅受另一维度条件约束，不受本维度条件约束，因此筛选后仍可点击其他取值，不存在进入后无法返回的情况。</w:t>
      </w:r>
    </w:p>
    <w:p>
      <w:pPr>
        <w:pStyle w:val="3"/>
      </w:pPr>
      <w:r>
        <w:t>24 小时分布</w:t>
      </w:r>
    </w:p>
    <w:p>
      <w:pPr/>
      <w:r>
        <w:t>页面右侧柱状图表示告警在一天二十四小时内的分布，已应用当前筛选条件，用于判断告警集中于特定时段或全天零星发生。</w:t>
      </w:r>
    </w:p>
    <w:p>
      <w:pPr>
        <w:pStyle w:val="3"/>
      </w:pPr>
      <w:r>
        <w:t>告警明细</w:t>
      </w:r>
    </w:p>
    <w:p>
      <w:pPr/>
      <w:r>
        <w:t>明细表包含时刻、时刻内秒数、等级、来源、设备与描述，与导入的告警文件逐条一致，采用分页显示，每页条数固定。</w:t>
      </w:r>
    </w:p>
    <w:p>
      <w:pPr/>
      <w:r>
        <w:t>本平台告警当前来源于两条路径：仿真产物中的告警文件，以及状态机自身产生的状态迁移记录。状态迁移（INIT → SELF_CHECK → READY → NORMAL / DERATED）同样按告警展示，因其与越限告警一样需要追溯。</w:t>
      </w:r>
    </w:p>
    <w:p>
      <w:pPr>
        <w:pStyle w:val="3"/>
      </w:pPr>
      <w:r>
        <w:t>告警等级与来源</w:t>
      </w:r>
    </w:p>
    <w:p>
      <w:pPr/>
      <w:r>
        <w:t>等级共五档，由轻至重排列如下；来源共七类，按产生告警的子系统划分。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700"/>
        <w:gridCol w:w="4306"/>
        <w:gridCol w:w="3740"/>
      </w:tblGrid>
      <w:tr>
        <w:trPr>
          <w:tblHeader w:val="true"/>
          <w:cantSplit w:val="true"/>
        </w:trPr>
        <w:tc>
          <w:tcPr>
            <w:tcW w:type="dxa" w:w="170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等级</w:t>
            </w:r>
          </w:p>
        </w:tc>
        <w:tc>
          <w:tcPr>
            <w:tcW w:type="dxa" w:w="430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374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处置要求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INFO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信息：状态迁移、恢复通知</w:t>
            </w:r>
          </w:p>
        </w:tc>
        <w:tc>
          <w:tcPr>
            <w:tcW w:type="dxa" w:w="374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无需处置，用于追溯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WARNING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警告：越限但已自动收敛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记录，观察是否重复出现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DERATED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降额：策略主动降低出力以保证安全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查明降额原因与持续时长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FAULT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故障：设备或通道异常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需现场检查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EMERGENCY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紧急：安全红线被突破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立即处置；本系统不允许策略将状态锁定于该档</w:t>
            </w:r>
          </w:p>
        </w:tc>
      </w:tr>
    </w:tbl>
    <w:p>
      <w:pPr>
        <w:spacing w:after="80" w:line="240" w:lineRule="auto"/>
        <w:ind w:firstLine="0"/>
      </w:pP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266"/>
        <w:gridCol w:w="7479"/>
      </w:tblGrid>
      <w:tr>
        <w:trPr>
          <w:tblHeader w:val="true"/>
          <w:cantSplit w:val="true"/>
        </w:trPr>
        <w:tc>
          <w:tcPr>
            <w:tcW w:type="dxa" w:w="226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来源</w:t>
            </w:r>
          </w:p>
        </w:tc>
        <w:tc>
          <w:tcPr>
            <w:tcW w:type="dxa" w:w="747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覆盖范围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FSM</w:t>
            </w:r>
          </w:p>
        </w:tc>
        <w:tc>
          <w:tcPr>
            <w:tcW w:type="dxa" w:w="747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状态机：初始化、自检、就绪、降额、恢复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SAFETY</w:t>
            </w:r>
          </w:p>
        </w:tc>
        <w:tc>
          <w:tcPr>
            <w:tcW w:type="dxa" w:w="74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安全约束层：区间矛盾、限值冲突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SOC</w:t>
            </w:r>
          </w:p>
        </w:tc>
        <w:tc>
          <w:tcPr>
            <w:tcW w:type="dxa" w:w="74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电池荷电状态：上下限、充放禁止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GRID</w:t>
            </w:r>
          </w:p>
        </w:tc>
        <w:tc>
          <w:tcPr>
            <w:tcW w:type="dxa" w:w="74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关口：逆流、越限、限值变化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TRANSFORMER</w:t>
            </w:r>
          </w:p>
        </w:tc>
        <w:tc>
          <w:tcPr>
            <w:tcW w:type="dxa" w:w="74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变压器：过载与容量约束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COMM</w:t>
            </w:r>
          </w:p>
        </w:tc>
        <w:tc>
          <w:tcPr>
            <w:tcW w:type="dxa" w:w="74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通道：采集超时、链路中断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TEMP</w:t>
            </w:r>
          </w:p>
        </w:tc>
        <w:tc>
          <w:tcPr>
            <w:tcW w:type="dxa" w:w="74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温度：电芯与舱内温度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筛选接口中空字符串的语义为「不筛选」，与「传入不存在的取值」不同：前者返回全部记录，后者返回空列表。界面的「全部」按钮对应前者。</w:t>
      </w:r>
    </w:p>
    <w:p>
      <w:pPr>
        <w:pStyle w:val="2"/>
      </w:pPr>
      <w:r>
        <w:t>策略配置与指令下发</w:t>
      </w:r>
    </w:p>
    <w:p>
      <w:pPr>
        <w:pStyle w:val="3"/>
      </w:pPr>
      <w:r>
        <w:t>九个策略与优先级</w:t>
      </w:r>
    </w:p>
    <w:p>
      <w:pPr/>
      <w:r>
        <w:t>策略配置页列出全部九个策略，包含策略编号、名称、优先级、启停状态、说明与参数。优先级共四档，高优先级先计算，低优先级仅在高优先级确定的功率区间内寻优：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360"/>
        <w:gridCol w:w="2833"/>
        <w:gridCol w:w="5553"/>
      </w:tblGrid>
      <w:tr>
        <w:trPr>
          <w:tblHeader w:val="true"/>
          <w:cantSplit w:val="true"/>
        </w:trPr>
        <w:tc>
          <w:tcPr>
            <w:tcW w:type="dxa" w:w="136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优先级</w:t>
            </w:r>
          </w:p>
        </w:tc>
        <w:tc>
          <w:tcPr>
            <w:tcW w:type="dxa" w:w="283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555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策略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L0</w:t>
            </w:r>
          </w:p>
        </w:tc>
        <w:tc>
          <w:tcPr>
            <w:tcW w:type="dxa" w:w="283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安全（最高）</w:t>
            </w:r>
          </w:p>
        </w:tc>
        <w:tc>
          <w:tcPr>
            <w:tcW w:type="dxa" w:w="555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BMS 禁止充放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L1</w:t>
            </w:r>
          </w:p>
        </w:tc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安全运行</w:t>
            </w:r>
          </w:p>
        </w:tc>
        <w:tc>
          <w:tcPr>
            <w:tcW w:type="dxa" w:w="55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BMS 请求降功率、变压器过载限功率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L2</w:t>
            </w:r>
          </w:p>
        </w:tc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局部经济</w:t>
            </w:r>
          </w:p>
        </w:tc>
        <w:tc>
          <w:tcPr>
            <w:tcW w:type="dxa" w:w="55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需量管理、防逆流、光伏出力平抑</w:t>
            </w:r>
          </w:p>
        </w:tc>
      </w:tr>
      <w:tr>
        <w:trPr>
          <w:cantSplit w:val="true"/>
        </w:trPr>
        <w:tc>
          <w:tcPr>
            <w:tcW w:type="dxa" w:w="136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21"/>
              </w:rPr>
              <w:t>L3</w:t>
            </w:r>
          </w:p>
        </w:tc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全局经济</w:t>
            </w:r>
          </w:p>
        </w:tc>
        <w:tc>
          <w:tcPr>
            <w:tcW w:type="dxa" w:w="555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峰谷套利、动态预测优化、需求响应</w:t>
            </w:r>
          </w:p>
        </w:tc>
      </w:tr>
    </w:tbl>
    <w:p>
      <w:pPr>
        <w:spacing w:after="80" w:line="240" w:lineRule="auto"/>
        <w:ind w:firstLine="0"/>
      </w:pP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rategies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8-1　策略配置页：九个策略、优先级、参数与下发演示</w:t>
      </w:r>
    </w:p>
    <w:p>
      <w:pPr/>
      <w:r>
        <w:t>优先级表示仲裁顺序，而非显示排序：低优先级策略仅能在高优先级策略确定的功率区间内寻优，任何策略均不得突破 L0 / L1 给出的边界。</w:t>
      </w:r>
    </w:p>
    <w:p>
      <w:pPr>
        <w:pStyle w:val="3"/>
      </w:pPr>
      <w:r>
        <w:t>启停与参数</w:t>
      </w:r>
    </w:p>
    <w:p>
      <w:pPr/>
      <w:r>
        <w:t>各策略行右侧设有启用 / 停用按钮，参数列显示该策略当前生效的参数。修改需值班长及以上角色，每次改动均写入操作审计（操作人、时间、策略及变更内容）。</w:t>
      </w:r>
    </w:p>
    <w:p>
      <w:pPr/>
      <w:r>
        <w:rPr>
          <w:b/>
        </w:rPr>
        <w:t>注意：</w:t>
      </w:r>
      <w:r>
        <w:t>约束区间矛盾不等同于紧急状态。约束相互冲突时，系统的处置方式为降额（DERATED），而非置入紧急状态：置入紧急状态将导致全站停机，而多数区间矛盾仅需收窄某一区间即可解决。</w:t>
      </w:r>
    </w:p>
    <w:p>
      <w:pPr>
        <w:pStyle w:val="3"/>
      </w:pPr>
      <w:r>
        <w:t>运行模式切换</w:t>
      </w:r>
    </w:p>
    <w:p>
      <w:pPr/>
      <w:r>
        <w:t>顶栏的运行模式为业务维度切换，包含峰谷套利、削峰填谷、辅助服务、保电备电四项。切换操作联动后端启停对应策略组，结果写入审计记录。只读角色点击时，系统明确拒绝并提示所需角色。</w:t>
      </w:r>
    </w:p>
    <w:p>
      <w:pPr/>
      <w:r>
        <w:t>运行模式与引擎模式（运行 / 仿真）相互正交：前者决定采用哪一组业务策略，后者决定界面数据为实时采集或离线计算。界面不将二者合并为单一开关。</w:t>
      </w:r>
    </w:p>
    <w:p>
      <w:pPr>
        <w:pStyle w:val="3"/>
      </w:pPr>
      <w:r>
        <w:t>指令下发</w:t>
      </w:r>
    </w:p>
    <w:p>
      <w:pPr/>
      <w:r>
        <w:t>策略配置页底部提供指令下发演示功能：填写目标功率（kW）后点击「下发」。在未接入真实执行器时，本平台不返回虚假的成功结果：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Consolas"/>
                <w:sz w:val="18"/>
              </w:rPr>
              <w:t>{ "accepted": false, "executor": "none",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 xml:space="preserve">  "reason": "现场尚未接入真实执行器（无真机）；本次只记录意图并审计",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 xml:space="preserve">  "verdict": "out_of_permission",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 xml:space="preserve">  "permission_range": { "lower_kw": -143.3, "upper_kw": 250.0 } }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接口将本次指令与本拍权限区间对照，给出三种判定：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266"/>
        <w:gridCol w:w="7479"/>
      </w:tblGrid>
      <w:tr>
        <w:trPr>
          <w:tblHeader w:val="true"/>
          <w:cantSplit w:val="true"/>
        </w:trPr>
        <w:tc>
          <w:tcPr>
            <w:tcW w:type="dxa" w:w="226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verdict</w:t>
            </w:r>
          </w:p>
        </w:tc>
        <w:tc>
          <w:tcPr>
            <w:tcW w:type="dxa" w:w="747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ok</w:t>
            </w:r>
          </w:p>
        </w:tc>
        <w:tc>
          <w:tcPr>
            <w:tcW w:type="dxa" w:w="747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在权限区间内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out_of_permission</w:t>
            </w:r>
          </w:p>
        </w:tc>
        <w:tc>
          <w:tcPr>
            <w:tcW w:type="dxa" w:w="74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超出权限区间，指令不发送至执行器</w:t>
            </w:r>
          </w:p>
        </w:tc>
      </w:tr>
      <w:tr>
        <w:trPr>
          <w:cantSplit w:val="true"/>
        </w:trPr>
        <w:tc>
          <w:tcPr>
            <w:tcW w:type="dxa" w:w="226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gated</w:t>
            </w:r>
          </w:p>
        </w:tc>
        <w:tc>
          <w:tcPr>
            <w:tcW w:type="dxa" w:w="74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被状态门控拦截（如当前禁止放电）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无论判定结果如何，本次指令意图均写入审计记录。界面不显示未实际发生的动作。</w:t>
      </w:r>
    </w:p>
    <w:p>
      <w:pPr>
        <w:pStyle w:val="2"/>
      </w:pPr>
      <w:r>
        <w:t>收益分析与报表</w:t>
      </w:r>
    </w:p>
    <w:p>
      <w:pPr>
        <w:pStyle w:val="3"/>
      </w:pPr>
      <w:r>
        <w:t>收益分析</w:t>
      </w:r>
    </w:p>
    <w:p>
      <w:pPr/>
      <w:r>
        <w:t>收益分析页展示净收益构成、节省率与日 / 周 / 月对比。净收益口径固定如下：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Consolas"/>
                <w:sz w:val="18"/>
              </w:rPr>
              <w:t>净收益 = 卖电收入 − 充电成本 − 电池衰减（按卖电型场景计）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节省率 = 1 − 实际电费 / 不装储能时的电费</w:t>
            </w:r>
          </w:p>
        </w:tc>
      </w:tr>
    </w:tbl>
    <w:p>
      <w:pPr>
        <w:spacing w:after="80" w:line="240" w:lineRule="auto"/>
        <w:ind w:firstLine="0"/>
      </w:pP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conomic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9-1　收益分析页</w:t>
      </w:r>
    </w:p>
    <w:p>
      <w:pPr/>
      <w:r>
        <w:rPr>
          <w:b/>
        </w:rPr>
        <w:t>注意：</w:t>
      </w:r>
      <w:r>
        <w:t>页面显示的净收益为仿真结果或当日累计值，非实测账单。该性质由页脚的数据源标识注明，界面不以「实际收益」表述。</w:t>
      </w:r>
    </w:p>
    <w:p>
      <w:pPr>
        <w:pStyle w:val="3"/>
      </w:pPr>
      <w:r>
        <w:t>报表系统</w:t>
      </w:r>
    </w:p>
    <w:p>
      <w:pPr/>
      <w:r>
        <w:t>报表系统提供日 / 周 / 月三档聚合，并设导出与打印两个出口：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926"/>
        <w:gridCol w:w="7819"/>
      </w:tblGrid>
      <w:tr>
        <w:trPr>
          <w:tblHeader w:val="true"/>
          <w:cantSplit w:val="true"/>
        </w:trPr>
        <w:tc>
          <w:tcPr>
            <w:tcW w:type="dxa" w:w="192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区域</w:t>
            </w:r>
          </w:p>
        </w:tc>
        <w:tc>
          <w:tcPr>
            <w:tcW w:type="dxa" w:w="781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聚合汇总</w:t>
            </w:r>
          </w:p>
        </w:tc>
        <w:tc>
          <w:tcPr>
            <w:tcW w:type="dxa" w:w="781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充电量、放电量、光伏发电、负荷用电、倒送电量、关口峰值、净收益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安全与告警</w:t>
            </w:r>
          </w:p>
        </w:tc>
        <w:tc>
          <w:tcPr>
            <w:tcW w:type="dxa" w:w="78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四项安全红线是否全部通过、告警总数与等级分布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日明细</w:t>
            </w:r>
          </w:p>
        </w:tc>
        <w:tc>
          <w:tcPr>
            <w:tcW w:type="dxa" w:w="78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按日列出场景、充放电量与净收益</w:t>
            </w:r>
          </w:p>
        </w:tc>
      </w:tr>
      <w:tr>
        <w:trPr>
          <w:cantSplit w:val="true"/>
        </w:trPr>
        <w:tc>
          <w:tcPr>
            <w:tcW w:type="dxa" w:w="192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指令归因分布</w:t>
            </w:r>
          </w:p>
        </w:tc>
        <w:tc>
          <w:tcPr>
            <w:tcW w:type="dxa" w:w="781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指令落在「正常」「区间夹紧」等归因上的条数与占比</w:t>
            </w:r>
          </w:p>
        </w:tc>
      </w:tr>
    </w:tbl>
    <w:p>
      <w:pPr>
        <w:spacing w:after="80" w:line="240" w:lineRule="auto"/>
        <w:ind w:firstLine="0"/>
      </w:pP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9-2　报表系统：日 / 周 / 月聚合与导出打印</w:t>
      </w:r>
    </w:p>
    <w:p>
      <w:pPr/>
      <w:r>
        <w:t>「导出时序」与「导出告警」两个按钮直接下载 CSV 文件，供表格软件进行二次统计；「打印 / 存为 PDF」使用专用打印样式，隐藏侧栏与滚动条，按内容自然分页，不会仅输出首屏内容。</w:t>
      </w:r>
    </w:p>
    <w:p>
      <w:pPr/>
      <w:r>
        <w:rPr>
          <w:b/>
        </w:rPr>
        <w:t>注意：</w:t>
      </w:r>
      <w:r>
        <w:t>当前数据库内仅有仿真日数据，在尚未积累真实运行日之前，周 / 月视角显示为空。该情形属数据边界，非聚合错误。</w:t>
      </w:r>
    </w:p>
    <w:p>
      <w:pPr>
        <w:pStyle w:val="2"/>
      </w:pPr>
      <w:r>
        <w:t>用户与权限</w:t>
      </w:r>
    </w:p>
    <w:p>
      <w:pPr>
        <w:pStyle w:val="3"/>
      </w:pPr>
      <w:r>
        <w:t>三种角色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473"/>
        <w:gridCol w:w="5439"/>
        <w:gridCol w:w="2833"/>
      </w:tblGrid>
      <w:tr>
        <w:trPr>
          <w:tblHeader w:val="true"/>
          <w:cantSplit w:val="true"/>
        </w:trPr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角色</w:t>
            </w:r>
          </w:p>
        </w:tc>
        <w:tc>
          <w:tcPr>
            <w:tcW w:type="dxa" w:w="543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权限范围</w:t>
            </w:r>
          </w:p>
        </w:tc>
        <w:tc>
          <w:tcPr>
            <w:tcW w:type="dxa" w:w="283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现场对应岗位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viewer</w:t>
            </w:r>
          </w:p>
        </w:tc>
        <w:tc>
          <w:tcPr>
            <w:tcW w:type="dxa" w:w="543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全部页面只读</w:t>
            </w:r>
          </w:p>
        </w:tc>
        <w:tc>
          <w:tcPr>
            <w:tcW w:type="dxa" w:w="283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运行人员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operator</w:t>
            </w:r>
          </w:p>
        </w:tc>
        <w:tc>
          <w:tcPr>
            <w:tcW w:type="dxa" w:w="543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只读，并可修改运行参数、修改接入配置、下发指令</w:t>
            </w:r>
          </w:p>
        </w:tc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值班长</w:t>
            </w:r>
          </w:p>
        </w:tc>
      </w:tr>
      <w:tr>
        <w:trPr>
          <w:cantSplit w:val="true"/>
        </w:trPr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admin</w:t>
            </w:r>
          </w:p>
        </w:tc>
        <w:tc>
          <w:tcPr>
            <w:tcW w:type="dxa" w:w="543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全部权限，含用户管理与审计</w:t>
            </w:r>
          </w:p>
        </w:tc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系统管理员</w:t>
            </w:r>
          </w:p>
        </w:tc>
      </w:tr>
    </w:tbl>
    <w:p>
      <w:pPr>
        <w:spacing w:after="80" w:line="240" w:lineRule="auto"/>
        <w:ind w:firstLine="0"/>
      </w:pPr>
    </w:p>
    <w:p>
      <w:pPr>
        <w:spacing w:before="12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973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sers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9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40" w:lineRule="auto"/>
        <w:ind w:firstLine="0"/>
        <w:jc w:val="center"/>
      </w:pPr>
      <w:r>
        <w:rPr>
          <w:color w:val="595959"/>
          <w:sz w:val="18"/>
        </w:rPr>
        <w:t>图 10-1　用户与权限页（仅管理员可见）</w:t>
      </w:r>
    </w:p>
    <w:p>
      <w:pPr/>
      <w:r>
        <w:t>侧栏菜单按角色过滤，非管理员不显示「用户与权限」。直接修改地址栏中的页面锚点亦无法绕过校验：进入页面时校验目标页是否在可见菜单内，若不在则返回总览并提示无访问权限。</w:t>
      </w:r>
    </w:p>
    <w:p>
      <w:pPr>
        <w:pStyle w:val="3"/>
      </w:pPr>
      <w:r>
        <w:t>新建用户</w:t>
      </w:r>
    </w:p>
    <w:p>
      <w:pPr/>
      <w:r>
        <w:t>管理员可在该页新建账号，指定用户名、初始口令与角色。口令以加盐哈希存储，新建后不可回读明文。账号停用后会话立即失效。</w:t>
      </w:r>
    </w:p>
    <w:p>
      <w:pPr>
        <w:pStyle w:val="3"/>
      </w:pPr>
      <w:r>
        <w:t>操作审计</w:t>
      </w:r>
    </w:p>
    <w:p>
      <w:pPr/>
      <w:r>
        <w:t>页面下半部分为最近一百条操作审计记录，包含时间、操作人、动作类型与操作对象。策略变更、接入配置变更、模式切换、指令下发、模拟链路启停均留有记录。</w:t>
      </w:r>
    </w:p>
    <w:p>
      <w:pPr/>
      <w:r>
        <w:rPr>
          <w:b/>
        </w:rPr>
        <w:t>注意：</w:t>
      </w:r>
      <w:r>
        <w:t>前端菜单过滤属于易用性设计，不构成安全边界。权限校验在后端执行：每个接口均声明最低角色要求，越权请求返回 403，未登录请求返回 401。</w:t>
      </w:r>
    </w:p>
    <w:p>
      <w:pPr>
        <w:pStyle w:val="2"/>
      </w:pPr>
      <w:r>
        <w:t>日常维护与故障处置</w:t>
      </w:r>
    </w:p>
    <w:p>
      <w:pPr>
        <w:pStyle w:val="3"/>
      </w:pPr>
      <w:r>
        <w:t>页脚信息读取</w:t>
      </w:r>
    </w:p>
    <w:p>
      <w:pPr/>
      <w:r>
        <w:t>页脚两行信息是故障排查的首要依据，应先查看页脚，再查看页面内容：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833"/>
        <w:gridCol w:w="4306"/>
        <w:gridCol w:w="2606"/>
      </w:tblGrid>
      <w:tr>
        <w:trPr>
          <w:tblHeader w:val="true"/>
          <w:cantSplit w:val="true"/>
        </w:trPr>
        <w:tc>
          <w:tcPr>
            <w:tcW w:type="dxa" w:w="283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显示</w:t>
            </w:r>
          </w:p>
        </w:tc>
        <w:tc>
          <w:tcPr>
            <w:tcW w:type="dxa" w:w="430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  <w:tc>
          <w:tcPr>
            <w:tcW w:type="dxa" w:w="260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后续处置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模型源 / 现场设备源 / 历史库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当前页面数据的性质</w:t>
            </w:r>
          </w:p>
        </w:tc>
        <w:tc>
          <w:tcPr>
            <w:tcW w:type="dxa" w:w="260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模型源数据不得作为现场实测值使用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采集来源与目录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数据实际来自的目录或采集进程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与设备管理页的形态逐台对照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schema 版本与入库时间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数据库结构与最近一次导入时刻</w:t>
            </w:r>
          </w:p>
        </w:tc>
        <w:tc>
          <w:tcPr>
            <w:tcW w:type="dxa" w:w="26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入库时间过旧说明采集或导入已停止</w:t>
            </w:r>
          </w:p>
        </w:tc>
      </w:tr>
    </w:tbl>
    <w:p>
      <w:pPr>
        <w:spacing w:after="80" w:line="240" w:lineRule="auto"/>
        <w:ind w:firstLine="0"/>
      </w:pPr>
    </w:p>
    <w:p>
      <w:pPr>
        <w:pStyle w:val="3"/>
      </w:pPr>
      <w:r>
        <w:t>采集停止时的表现</w:t>
      </w:r>
    </w:p>
    <w:p>
      <w:pPr/>
      <w:r>
        <w:t>采集停止时，页面标题右侧标识由「每 5 s 自动刷新 · 更新于 hh:mm:ss」变更为「采集已停止 · 数据停在 hh:mm:ss」，时间取最后一次成功入库的时刻。此时页面数据仍可读取，但不再变化，界面不呈现虚假的刷新状态。</w:t>
      </w:r>
    </w:p>
    <w:p>
      <w:pPr/>
      <w:r>
        <w:t>采集状态分三档，处置方式不同，不可按同一方式处理：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134"/>
        <w:gridCol w:w="1134"/>
        <w:gridCol w:w="3427"/>
        <w:gridCol w:w="4051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状态</w:t>
            </w:r>
          </w:p>
        </w:tc>
        <w:tc>
          <w:tcPr>
            <w:tcW w:type="dxa" w:w="11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标识</w:t>
            </w:r>
          </w:p>
        </w:tc>
        <w:tc>
          <w:tcPr>
            <w:tcW w:type="dxa" w:w="3427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4051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处置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在采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绿色</w:t>
            </w:r>
          </w:p>
        </w:tc>
        <w:tc>
          <w:tcPr>
            <w:tcW w:type="dxa" w:w="3427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采集进程在运行，入库正常推进</w:t>
            </w:r>
          </w:p>
        </w:tc>
        <w:tc>
          <w:tcPr>
            <w:tcW w:type="dxa" w:w="4051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无需处置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停滞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黄色</w:t>
            </w:r>
          </w:p>
        </w:tc>
        <w:tc>
          <w:tcPr>
            <w:tcW w:type="dxa" w:w="342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采集进程在运行，但最近一次写库失败且正在重试</w:t>
            </w:r>
          </w:p>
        </w:tc>
        <w:tc>
          <w:tcPr>
            <w:tcW w:type="dxa" w:w="4051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属可恢复故障，观察重试计数是否持续增大；持续增大须检查数据库可写性与磁盘空间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失败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红色</w:t>
            </w:r>
          </w:p>
        </w:tc>
        <w:tc>
          <w:tcPr>
            <w:tcW w:type="dxa" w:w="3427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采集进程已退出或写入彻底中断</w:t>
            </w:r>
          </w:p>
        </w:tc>
        <w:tc>
          <w:tcPr>
            <w:tcW w:type="dxa" w:w="4051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查看采集器错误信息与日志，重新启动链路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「停滞」一档容易被忽略，却是现场最常见的一档：进程在跑、日志在长、界面只在缓慢变旧，没有任何一条报错。判断依据是实时库行数是否仍在增长，以及重试计数是否为非零。</w:t>
      </w:r>
    </w:p>
    <w:p>
      <w:pPr>
        <w:pStyle w:val="3"/>
      </w:pPr>
      <w:r>
        <w:t>自检脚本</w:t>
      </w:r>
    </w:p>
    <w:p>
      <w:pPr/>
      <w:r>
        <w:t>两个自检脚本均可在服务运行期间执行，不修改现有数据（导入相关断言使用临时数据库）：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4F6F8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nsolas" w:hAnsi="Consolas" w:eastAsia="Consolas"/>
                <w:sz w:val="18"/>
              </w:rPr>
              <w:t>14\scripts\run_selftest.bat     rem 后端：库、接口、权限、接入闭环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nsolas" w:hAnsi="Consolas" w:eastAsia="Consolas"/>
                <w:sz w:val="18"/>
              </w:rPr>
              <w:t>15\scripts\run_selftest.bat     rem 前端：文件、接口契约、菜单权限、渲染纪律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两者输出均以 PASS / FAIL 计数结束。处置完毕后应再次执行，确认 FAIL 计数归零。</w:t>
      </w:r>
    </w:p>
    <w:p>
      <w:pPr>
        <w:pStyle w:val="3"/>
      </w:pPr>
      <w:r>
        <w:t>常见问题处置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833"/>
        <w:gridCol w:w="3740"/>
        <w:gridCol w:w="3173"/>
      </w:tblGrid>
      <w:tr>
        <w:trPr>
          <w:tblHeader w:val="true"/>
          <w:cantSplit w:val="true"/>
        </w:trPr>
        <w:tc>
          <w:tcPr>
            <w:tcW w:type="dxa" w:w="283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现象</w:t>
            </w:r>
          </w:p>
        </w:tc>
        <w:tc>
          <w:tcPr>
            <w:tcW w:type="dxa" w:w="374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可能原因</w:t>
            </w:r>
          </w:p>
        </w:tc>
        <w:tc>
          <w:tcPr>
            <w:tcW w:type="dxa" w:w="31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处置措施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页面停在「加载失败」</w:t>
            </w:r>
          </w:p>
        </w:tc>
        <w:tc>
          <w:tcPr>
            <w:tcW w:type="dxa" w:w="374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直接打开 index.html，或后端未启动</w:t>
            </w:r>
          </w:p>
        </w:tc>
        <w:tc>
          <w:tcPr>
            <w:tcW w:type="dxa" w:w="31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通过平台地址访问，由后端托管界面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页面可打开，数值全部为「—」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数据库内无当前数据集的数据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先导入仿真产物或启动采集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总览返回 404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运行模式下实时数据集为空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在设备管理页检查采集是否运行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曲线拖动无响应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所查看的数据集断档严重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确认数据来源；界面按采样点下标铺格，断档表现为间隔跳跃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点表保存被拒绝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某行类型或地址不合规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查看返回的第一处错误与行号；行内预检不作为权威判据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转发表修改后未生效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网关仅在启动时读取转发表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重启网关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切换下端形态被拒（409）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采集正在进行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先停止采集，再切换形态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模拟源标识显示「链路未启动」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仅修改了表，进程未启动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点击「换一个进程」按当前套拉起链路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登录后缺少某一菜单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当前角色非管理员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使用 admin 登录，或提升该账号角色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多台设备仅一台数据变化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采集器一次仅连接一台设备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属当前已知边界，非故障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点「完成填报」后弹层不关闭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九步必填未齐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按提示跳到所缺的那一步补齐；缺项时页面刻意不关闭、不前进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导入 CSV 后保存被拒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EMS 点名（src）为空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逐行绑定 src；导入只搬运 IOA 与系数，不做语义映射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数据在变旧但采集显示在采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写库处于可恢复故障重试中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查看状态行的重试计数与实时库行数；检查数据库可写性与磁盘空间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上端上送值全为固定初值</w:t>
            </w:r>
          </w:p>
        </w:tc>
        <w:tc>
          <w:tcPr>
            <w:tcW w:type="dxa" w:w="374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采集器未把采集值写入共享内存</w:t>
            </w:r>
          </w:p>
        </w:tc>
        <w:tc>
          <w:tcPr>
            <w:tcW w:type="dxa" w:w="31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核对采集器启动参数；此时链路连通与品质位均正常，仅数值错误</w:t>
            </w:r>
          </w:p>
        </w:tc>
      </w:tr>
    </w:tbl>
    <w:p>
      <w:pPr>
        <w:spacing w:after="80" w:line="240" w:lineRule="auto"/>
        <w:ind w:firstLine="0"/>
      </w:pPr>
    </w:p>
    <w:p>
      <w:pPr>
        <w:pStyle w:val="2"/>
        <w:numPr>
          <w:ilvl w:val="0"/>
          <w:numId w:val="0"/>
        </w:numPr>
      </w:pPr>
      <w:r>
        <w:t>附录 1　接口清单</w:t>
      </w:r>
    </w:p>
    <w:p>
      <w:pPr/>
      <w:r>
        <w:t>本平台后端共五十六个端点。下表按用途归类列出运行与调试最常用的部分；权限列中 viewer 为只读、operator 为值班长、admin 为管理员。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1288"/>
        <w:gridCol w:w="1134"/>
        <w:gridCol w:w="3347"/>
        <w:gridCol w:w="1232"/>
        <w:gridCol w:w="2744"/>
      </w:tblGrid>
      <w:tr>
        <w:trPr>
          <w:tblHeader w:val="true"/>
          <w:cantSplit w:val="true"/>
        </w:trPr>
        <w:tc>
          <w:tcPr>
            <w:tcW w:type="dxa" w:w="1288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19"/>
              </w:rPr>
              <w:t>类别</w:t>
            </w:r>
          </w:p>
        </w:tc>
        <w:tc>
          <w:tcPr>
            <w:tcW w:type="dxa" w:w="113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3347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19"/>
              </w:rPr>
              <w:t>路径</w:t>
            </w:r>
          </w:p>
        </w:tc>
        <w:tc>
          <w:tcPr>
            <w:tcW w:type="dxa" w:w="1232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19"/>
              </w:rPr>
              <w:t>权限</w:t>
            </w:r>
          </w:p>
        </w:tc>
        <w:tc>
          <w:tcPr>
            <w:tcW w:type="dxa" w:w="274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服务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/api/health</w:t>
            </w:r>
          </w:p>
        </w:tc>
        <w:tc>
          <w:tcPr>
            <w:tcW w:type="dxa" w:w="1232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744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服务与数据库状态、场景清单、各表行数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认证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/api/login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登录，返回 token（有效期 12 h）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认证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/api/logout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注销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认证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/api/me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当前用户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总览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/api/overview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四路功率、SOC、收益、告警、不变量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时序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/api/realtime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指定时刻各设备快照（含品质位）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时序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/api/series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降采样曲线（默认 96 点，最多 960 点）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时序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/api/steps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时序明细分页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时序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/api/commands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指令流水与归因分布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告警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/api/alarms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告警列表，等级与来源可单用或组合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告警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/api/alarms/summary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分档统计与 24 h 时间线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设备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/api/devices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设备台账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设备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/api/devices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新增设备台账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设备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/api/devices/{id}/point-map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点表、预检统计与落盘状态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设备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PUT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/api/devices/{id}/point-map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保存点表：校验、落盘、写库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设备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PUT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/api/devices/{id}/conn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保存单台接入参数，返回实际对端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接入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/api/access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两端接入总览与逐台四态计数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接入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PUT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/api/access/upstream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保存上端链路参数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接入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/api/data-source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两端输入源状态与组合提示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接入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/api/data-source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切换一端输入源（每次一端）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模拟源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/api/sim-source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总开关状态、当前套、端口计划、链路进程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模拟源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/api/sim-source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启用或关闭模拟源、换一套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模拟源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/api/sim-source/proc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链路进程启停与重启（仅迁移进程）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转发表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/api/upstream/point-map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当前生效转发表与来源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转发表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PUT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/api/upstream/point-map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保存转发表（整表替换，失败回滚）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转发表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DELETE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/api/upstream/point-map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恢复默认（删除文件并清存档）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转发表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/api/upstream/point-map.csv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导出当前表或模板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向导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/api/access-draft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九步定义、草稿、填报进度与缺项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向导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PUT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/api/access-draft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保存草稿；completed 为 true 时才校验必填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向导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DELETE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/api/access-draft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清空填报台账（不动链路参数与转发表）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向导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/api/access-draft.csv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导出九步总台账；带 step 参数导出本步件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策略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/api/strategies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九个策略与优先级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策略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PUT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/api/strategies/{id}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修改启用状态、优先级或参数（写入审计）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经济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/api/economics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经济性核算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经济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/api/energy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能量统计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报表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/api/report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按日 / 周 / 月聚合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安全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/api/invariants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四项安全红线计数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控制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/api/control/command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下发指令（未接入执行器时不返回虚假成功）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引擎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/api/engine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引擎模式、数据集与数据源清单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引擎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/api/engine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切换运行 / 仿真模式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引擎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/api/engine/live/start|stop|reset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operator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实时引擎启停与清空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导出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/api/export/{kind}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viewer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导出时序、告警、指令或设备 CSV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管理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/api/audit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操作审计</w:t>
            </w:r>
          </w:p>
        </w:tc>
      </w:tr>
      <w:tr>
        <w:trPr>
          <w:cantSplit w:val="true"/>
        </w:trPr>
        <w:tc>
          <w:tcPr>
            <w:tcW w:type="dxa" w:w="128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管理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GET · POST</w:t>
            </w:r>
          </w:p>
        </w:tc>
        <w:tc>
          <w:tcPr>
            <w:tcW w:type="dxa" w:w="334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/api/users</w:t>
            </w:r>
          </w:p>
        </w:tc>
        <w:tc>
          <w:tcPr>
            <w:tcW w:type="dxa" w:w="1232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2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19"/>
              </w:rPr>
              <w:t>用户列表与新建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接口与前端遵循同一契约：前端自检解析后端路由表，逐条核对界面调用的路径是否存在（含带参数的路径）。路径书写错误将在自检阶段报出，无需等到打开对应页面。</w:t>
      </w:r>
    </w:p>
    <w:p>
      <w:pPr>
        <w:pStyle w:val="2"/>
        <w:numPr>
          <w:ilvl w:val="0"/>
          <w:numId w:val="0"/>
        </w:numPr>
      </w:pPr>
      <w:r>
        <w:t>附录 2　接入配置的落盘文件</w:t>
      </w:r>
    </w:p>
    <w:p>
      <w:pPr/>
      <w:r>
        <w:t>界面上的每次保存，最终均落为端侧进程启动时读取的配置文件。四份文件位于同一目录、遵循同一口径（原子写入、写入 BOM、文件头记录保存时间与操作人）：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052"/>
        <w:gridCol w:w="3180"/>
        <w:gridCol w:w="2770"/>
        <w:gridCol w:w="1744"/>
      </w:tblGrid>
      <w:tr>
        <w:trPr>
          <w:tblHeader w:val="true"/>
          <w:cantSplit w:val="true"/>
        </w:trPr>
        <w:tc>
          <w:tcPr>
            <w:tcW w:type="dxa" w:w="2052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端</w:t>
            </w:r>
          </w:p>
        </w:tc>
        <w:tc>
          <w:tcPr>
            <w:tcW w:type="dxa" w:w="318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① 接入参数</w:t>
            </w:r>
          </w:p>
        </w:tc>
        <w:tc>
          <w:tcPr>
            <w:tcW w:type="dxa" w:w="277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② 表</w:t>
            </w:r>
          </w:p>
        </w:tc>
        <w:tc>
          <w:tcPr>
            <w:tcW w:type="dxa" w:w="1744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读取方</w:t>
            </w:r>
          </w:p>
        </w:tc>
      </w:tr>
      <w:tr>
        <w:trPr>
          <w:cantSplit w:val="true"/>
        </w:trPr>
        <w:tc>
          <w:tcPr>
            <w:tcW w:type="dxa" w:w="2052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下端（站内设备）</w:t>
            </w:r>
          </w:p>
        </w:tc>
        <w:tc>
          <w:tcPr>
            <w:tcW w:type="dxa" w:w="318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config/point-map/active.conn</w:t>
            </w:r>
          </w:p>
        </w:tc>
        <w:tc>
          <w:tcPr>
            <w:tcW w:type="dxa" w:w="277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config/point-map/active.csv（每台一份）</w:t>
            </w:r>
          </w:p>
        </w:tc>
        <w:tc>
          <w:tcPr>
            <w:tcW w:type="dxa" w:w="1744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采集器、设备替身</w:t>
            </w:r>
          </w:p>
        </w:tc>
      </w:tr>
      <w:tr>
        <w:trPr>
          <w:cantSplit w:val="true"/>
        </w:trPr>
        <w:tc>
          <w:tcPr>
            <w:tcW w:type="dxa" w:w="2052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上端（调度主站）</w:t>
            </w:r>
          </w:p>
        </w:tc>
        <w:tc>
          <w:tcPr>
            <w:tcW w:type="dxa" w:w="31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config/point-map/active.upstream</w:t>
            </w:r>
          </w:p>
        </w:tc>
        <w:tc>
          <w:tcPr>
            <w:tcW w:type="dxa" w:w="277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config/point-map/active.pointmap.csv（全站一份）</w:t>
            </w:r>
          </w:p>
        </w:tc>
        <w:tc>
          <w:tcPr>
            <w:tcW w:type="dxa" w:w="1744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IEC 104 网关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三处加载器（平台侧写入、采集侧读取、网关侧读取）遵循同一纪律：</w:t>
      </w:r>
    </w:p>
    <w:p>
      <w:pPr>
        <w:ind w:left="420" w:firstLine="0"/>
      </w:pPr>
      <w:r>
        <w:t xml:space="preserve">· </w:t>
      </w:r>
      <w:r>
        <w:rPr>
          <w:b/>
        </w:rPr>
        <w:t>文件不存在</w:t>
      </w:r>
      <w:r>
        <w:t>：视为本次不接入，不得以默认地址替代；以默认地址替代将导致向非目标设备下发指令。</w:t>
      </w:r>
    </w:p>
    <w:p>
      <w:pPr>
        <w:ind w:left="420" w:firstLine="0"/>
      </w:pPr>
      <w:r>
        <w:t xml:space="preserve">· </w:t>
      </w:r>
      <w:r>
        <w:rPr>
          <w:b/>
        </w:rPr>
        <w:t>文件存在但格式不合规</w:t>
      </w:r>
      <w:r>
        <w:t>：直接失败，不降级、不使用推测值。</w:t>
      </w:r>
    </w:p>
    <w:p>
      <w:pPr>
        <w:ind w:left="420" w:firstLine="0"/>
      </w:pPr>
      <w:r>
        <w:t xml:space="preserve">· </w:t>
      </w:r>
      <w:r>
        <w:rPr>
          <w:b/>
        </w:rPr>
        <w:t>出现未知键</w:t>
      </w:r>
      <w:r>
        <w:t>：直接失败。键名拼写错误若静默回退至默认端口，故障定位成本最高。</w:t>
      </w:r>
    </w:p>
    <w:p>
      <w:pPr/>
      <w:r>
        <w:rPr>
          <w:b/>
        </w:rPr>
        <w:t>注意：</w:t>
      </w:r>
      <w:r>
        <w:t>该目录为运行期产物，不纳入版本库。整体迁移时以环境变量指定目录，不得在其他位置另行实现解析逻辑：形态到实际地址的转换在全项目中只允许存在一处实现。</w:t>
      </w:r>
    </w:p>
    <w:p>
      <w:pPr>
        <w:pStyle w:val="2"/>
        <w:numPr>
          <w:ilvl w:val="0"/>
          <w:numId w:val="0"/>
        </w:numPr>
      </w:pPr>
      <w:r>
        <w:t>附录 3　术语与名称对应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380"/>
        <w:gridCol w:w="3060"/>
        <w:gridCol w:w="4306"/>
      </w:tblGrid>
      <w:tr>
        <w:trPr>
          <w:tblHeader w:val="true"/>
          <w:cantSplit w:val="true"/>
        </w:trPr>
        <w:tc>
          <w:tcPr>
            <w:tcW w:type="dxa" w:w="238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界面用词</w:t>
            </w:r>
          </w:p>
        </w:tc>
        <w:tc>
          <w:tcPr>
            <w:tcW w:type="dxa" w:w="3060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内部名称</w:t>
            </w:r>
          </w:p>
        </w:tc>
        <w:tc>
          <w:tcPr>
            <w:tcW w:type="dxa" w:w="4306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调度主站接入</w:t>
            </w:r>
          </w:p>
        </w:tc>
        <w:tc>
          <w:tcPr>
            <w:tcW w:type="dxa" w:w="3060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upstream</w:t>
            </w:r>
          </w:p>
        </w:tc>
        <w:tc>
          <w:tcPr>
            <w:tcW w:type="dxa" w:w="4306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对上，本平台作 IEC 104 从站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站内设备接入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downstream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对下，本平台作 Modbus 主站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接入形态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source_kind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真实源 real / 模拟源 sim / 未配置 unset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IOA 转发表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upstream_point_map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调度侧 IOA 与本平台点名的对应表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点表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point_map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寄存器地址与本平台点名的对应表，每台一份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运行模式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engine mode = run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数据实时采集，引擎按墙钟节拍运行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仿真模式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engine mode = sim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离线批量仿真，执行完成后装为一份数据集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数据集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scenario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一套可回看的时序数据，由后端确定当前使用的一份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本拍闭环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step record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一拍内的指令、实际功率、权限区间与四个布尔标志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权限区间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p_lower / p_upper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本拍允许的功率上下界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安全红线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invariant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四项须全部为 0 的计数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套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sim_preset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模拟源的一组端口段，共四套循环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链路进程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sim_chain_procs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替身、采集、网关、模拟主站等运行体的集合</w:t>
            </w:r>
          </w:p>
        </w:tc>
      </w:tr>
      <w:tr>
        <w:trPr>
          <w:cantSplit w:val="true"/>
        </w:trPr>
        <w:tc>
          <w:tcPr>
            <w:tcW w:type="dxa" w:w="238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降额</w:t>
            </w:r>
          </w:p>
        </w:tc>
        <w:tc>
          <w:tcPr>
            <w:tcW w:type="dxa" w:w="3060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DERATED</w:t>
            </w:r>
          </w:p>
        </w:tc>
        <w:tc>
          <w:tcPr>
            <w:tcW w:type="dxa" w:w="4306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主动降低出力以保证安全，非故障状态</w:t>
            </w:r>
          </w:p>
        </w:tc>
      </w:tr>
    </w:tbl>
    <w:p>
      <w:pPr>
        <w:spacing w:after="80" w:line="240" w:lineRule="auto"/>
        <w:ind w:firstLine="0"/>
      </w:pPr>
    </w:p>
    <w:p>
      <w:pPr>
        <w:pStyle w:val="2"/>
        <w:numPr>
          <w:ilvl w:val="0"/>
          <w:numId w:val="0"/>
        </w:numPr>
      </w:pPr>
      <w:r>
        <w:t>附录 4　版本与文档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833"/>
        <w:gridCol w:w="6913"/>
      </w:tblGrid>
      <w:tr>
        <w:trPr>
          <w:tblHeader w:val="true"/>
          <w:cantSplit w:val="true"/>
        </w:trPr>
        <w:tc>
          <w:tcPr>
            <w:tcW w:type="dxa" w:w="283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项</w:t>
            </w:r>
          </w:p>
        </w:tc>
        <w:tc>
          <w:tcPr>
            <w:tcW w:type="dxa" w:w="691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值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软件名称</w:t>
            </w:r>
          </w:p>
        </w:tc>
        <w:tc>
          <w:tcPr>
            <w:tcW w:type="dxa" w:w="691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工商业储能 EMS 运行监控平台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版本</w:t>
            </w:r>
          </w:p>
        </w:tc>
        <w:tc>
          <w:tcPr>
            <w:tcW w:type="dxa" w:w="69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V1.15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数据库结构版本</w:t>
            </w:r>
          </w:p>
        </w:tc>
        <w:tc>
          <w:tcPr>
            <w:tcW w:type="dxa" w:w="69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schema v1.6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界面页面数</w:t>
            </w:r>
          </w:p>
        </w:tc>
        <w:tc>
          <w:tcPr>
            <w:tcW w:type="dxa" w:w="69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11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后端接口数</w:t>
            </w:r>
          </w:p>
        </w:tc>
        <w:tc>
          <w:tcPr>
            <w:tcW w:type="dxa" w:w="69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56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文档类型</w:t>
            </w:r>
          </w:p>
        </w:tc>
        <w:tc>
          <w:tcPr>
            <w:tcW w:type="dxa" w:w="69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操作说明书（面向运行与调试人员）</w:t>
            </w:r>
          </w:p>
        </w:tc>
      </w:tr>
      <w:tr>
        <w:trPr>
          <w:cantSplit w:val="true"/>
        </w:trPr>
        <w:tc>
          <w:tcPr>
            <w:tcW w:type="dxa" w:w="283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编写依据</w:t>
            </w:r>
          </w:p>
        </w:tc>
        <w:tc>
          <w:tcPr>
            <w:tcW w:type="dxa" w:w="691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项目源码与模块文档、界面实测截图（2026-10-20）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t>本版相对上一版的主要变化如下：</w:t>
      </w:r>
    </w:p>
    <w:tbl>
      <w:tblPr>
        <w:tblStyle w:val="17"/>
        <w:tblW w:type="auto" w:w="0"/>
        <w:jc w:val="center"/>
        <w:tblLayout w:type="fixed"/>
        <w:tblCellMar>
          <w:top w:w="20" w:type="dxa"/>
          <w:left w:w="76" w:type="dxa"/>
          <w:bottom w:w="20" w:type="dxa"/>
          <w:right w:w="76" w:type="dxa"/>
        </w:tblCellMar>
        <w:tblLook w:firstColumn="1" w:firstRow="1" w:lastColumn="0" w:lastRow="0" w:noHBand="0" w:noVBand="1" w:val="04A0"/>
      </w:tblPr>
      <w:tblGrid>
        <w:gridCol w:w="2493"/>
        <w:gridCol w:w="1473"/>
        <w:gridCol w:w="5779"/>
      </w:tblGrid>
      <w:tr>
        <w:trPr>
          <w:tblHeader w:val="true"/>
          <w:cantSplit w:val="true"/>
        </w:trPr>
        <w:tc>
          <w:tcPr>
            <w:tcW w:type="dxa" w:w="249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变更</w:t>
            </w:r>
          </w:p>
        </w:tc>
        <w:tc>
          <w:tcPr>
            <w:tcW w:type="dxa" w:w="1473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影响章节</w:t>
            </w:r>
          </w:p>
        </w:tc>
        <w:tc>
          <w:tcPr>
            <w:tcW w:type="dxa" w:w="5779"/>
            <w:vAlign w:val="center"/>
            <w:shd w:val="clear" w:color="auto" w:fill="EEF3F9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/>
            <w:r>
              <w:rPr>
                <w:b/>
                <w:sz w:val="21"/>
              </w:rPr>
              <w:t>要点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接入调度主站改为九步向导</w:t>
            </w:r>
          </w:p>
        </w:tc>
        <w:tc>
          <w:tcPr>
            <w:tcW w:type="dxa" w:w="1473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第四章</w:t>
            </w:r>
          </w:p>
        </w:tc>
        <w:tc>
          <w:tcPr>
            <w:tcW w:type="dxa" w:w="5779"/>
            <w:vAlign w:val="center"/>
          </w:tcPr>
          <w:p>
            <w:pPr>
              <w:keepNext/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原页面上端的两个输入表单收进向导第六步；新增入口卡、断点续填、重置与本步导出件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转发表支持导入 CSV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第四章</w:t>
            </w:r>
          </w:p>
        </w:tc>
        <w:tc>
          <w:tcPr>
            <w:tcW w:type="dxa" w:w="57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导入为编辑动作，不落盘、不校验行数；EMS 点名仍须人工绑定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九步各步补材料清单与建议值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第四章</w:t>
            </w:r>
          </w:p>
        </w:tc>
        <w:tc>
          <w:tcPr>
            <w:tcW w:type="dxa" w:w="57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清单、建议值、导出件同源，均取自后端定义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实时监控补数据集说明卡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第六章</w:t>
            </w:r>
          </w:p>
        </w:tc>
        <w:tc>
          <w:tcPr>
            <w:tcW w:type="dxa" w:w="57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标明当前查看的数据集、样本量与时刻口径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时刻标签修正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第六章</w:t>
            </w:r>
          </w:p>
        </w:tc>
        <w:tc>
          <w:tcPr>
            <w:tcW w:type="dxa" w:w="57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一天末拍显示为 24:00；跨天加 D2、D7 前缀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模拟链路改为后台执行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第五章</w:t>
            </w:r>
          </w:p>
        </w:tc>
        <w:tc>
          <w:tcPr>
            <w:tcW w:type="dxa" w:w="57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操作请求立即返回，界面轮询结果，不再同步等待</w:t>
            </w:r>
          </w:p>
        </w:tc>
      </w:tr>
      <w:tr>
        <w:trPr>
          <w:cantSplit w:val="true"/>
        </w:trPr>
        <w:tc>
          <w:tcPr>
            <w:tcW w:type="dxa" w:w="249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入库瞬时故障自愈</w:t>
            </w:r>
          </w:p>
        </w:tc>
        <w:tc>
          <w:tcPr>
            <w:tcW w:type="dxa" w:w="1473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第五章、第九章</w:t>
            </w:r>
          </w:p>
        </w:tc>
        <w:tc>
          <w:tcPr>
            <w:tcW w:type="dxa" w:w="5779"/>
            <w:vAlign w:val="center"/>
          </w:tcPr>
          <w:p>
            <w:pPr>
              <w:spacing w:before="20" w:after="20" w:line="240" w:lineRule="auto"/>
              <w:ind w:firstLine="0"/>
            </w:pPr>
            <w:r/>
            <w:r>
              <w:rPr>
                <w:sz w:val="21"/>
              </w:rPr>
              <w:t>可恢复的写库失败不再终止入库线程</w:t>
            </w:r>
          </w:p>
        </w:tc>
      </w:tr>
    </w:tbl>
    <w:p>
      <w:pPr>
        <w:spacing w:after="80" w:line="240" w:lineRule="auto"/>
        <w:ind w:firstLine="0"/>
      </w:pPr>
    </w:p>
    <w:p>
      <w:pPr/>
      <w:r>
        <w:rPr>
          <w:b/>
        </w:rPr>
        <w:t>注意：</w:t>
      </w:r>
      <w:r>
        <w:t>对外交付前须确认三项条件：默认口令已修改、服务未直接暴露于公网、跨域开关保持默认关闭。三项条件的风险为叠加关系，非并列关系。</w:t>
      </w:r>
    </w:p>
    <w:sectPr>
      <w:footerReference w:type="default" r:id="rId70"/>
      <w:pgSz w:w="11906" w:h="16838"/>
      <w:pgMar w:top="1080" w:right="1080" w:bottom="1080" w:left="1080" w:header="680" w:footer="62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00"/>
      </w:pPr>
      <w:r>
        <w:separator/>
      </w:r>
    </w:p>
  </w:endnote>
  <w:endnote w:type="continuationSeparator" w:id="1">
    <w:p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简体">
    <w:panose1 w:val="02000000000000000000"/>
    <w:charset w:val="86"/>
    <w:family w:val="roman"/>
    <w:pitch w:val="default"/>
    <w:sig w:usb0="A00002BF" w:usb1="184F6CFA" w:usb2="00000012" w:usb3="00000000" w:csb0="00040001" w:csb1="00000000"/>
    <w:embedRegular r:id="rId1" w:fontKey="{49902C93-DC9D-43F6-98DF-1020FC4DCD7E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roman"/>
    <w:pitch w:val="default"/>
    <w:sig w:usb0="800002BF" w:usb1="38CF7CFA" w:usb2="00000016" w:usb3="00000000" w:csb0="00040000" w:csb1="00000000"/>
    <w:embedRegular r:id="rId2" w:fontKey="{DABBACC6-DFED-42EA-861E-E36882E0537A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B14FD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C25BFA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C25BFA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4020E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3C4CFB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3C4CFB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3CD251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6C38FF">
                          <w:pPr>
                            <w:pStyle w:val="12"/>
                            <w:spacing w:line="240" w:lineRule="auto"/>
                            <w:ind w:right="300" w:rightChars="100" w:firstLine="0" w:firstLineChars="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6C38FF">
                    <w:pPr>
                      <w:pStyle w:val="12"/>
                      <w:spacing w:line="240" w:lineRule="auto"/>
                      <w:ind w:right="300" w:rightChars="100" w:firstLine="0" w:firstLineChars="0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60B29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404774">
                          <w:pPr>
                            <w:pStyle w:val="12"/>
                            <w:spacing w:line="240" w:lineRule="auto"/>
                            <w:ind w:right="300" w:rightChars="100" w:firstLine="0" w:firstLineChars="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Fjpk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1f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jFjp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404774">
                    <w:pPr>
                      <w:pStyle w:val="12"/>
                      <w:spacing w:line="240" w:lineRule="auto"/>
                      <w:ind w:right="300" w:rightChars="100" w:firstLine="0" w:firstLineChars="0"/>
                    </w:pP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0ED03D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B3CF3D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- 2 -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2T0J0zAgAAYwQAAA4AAABkcnMvZTJvRG9jLnhtbK1UzY7TMBC+I/EO&#10;lu80aVcs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2T0J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B3CF3D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- 2 -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8199F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85BB99">
                          <w:pPr>
                            <w:pStyle w:val="12"/>
                            <w:spacing w:line="240" w:lineRule="auto"/>
                            <w:ind w:left="300" w:leftChars="100" w:right="0" w:rightChars="0" w:firstLine="0" w:firstLineChars="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tGXYzAgAAYwQAAA4AAABkcnMvZTJvRG9jLnhtbK1UzY7TMBC+I/EO&#10;lu80aRdW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1JYZpVPz0/dvp&#10;x6/Tz68EZxCocWGGuAeHyNi+tS3aZjgPOEy828rr9AUjAj/kPV7kFW0kPF2aTqbTHC4O37ABfvZ4&#10;3fkQ3wmrSTIK6lG/TlZ22ITYhw4hKZuxa6lUV0NlSFPQ66s3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ptGXY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85BB99">
                    <w:pPr>
                      <w:pStyle w:val="12"/>
                      <w:spacing w:line="240" w:lineRule="auto"/>
                      <w:ind w:left="300" w:leftChars="100" w:right="0" w:rightChars="0" w:firstLine="0" w:firstLineChars="0"/>
                    </w:pP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C2535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84E247">
                          <w:pPr>
                            <w:pStyle w:val="12"/>
                            <w:spacing w:line="240" w:lineRule="auto"/>
                            <w:ind w:right="300" w:rightChars="100" w:firstLine="0" w:firstLineChars="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t>- 5 -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84E247">
                    <w:pPr>
                      <w:pStyle w:val="12"/>
                      <w:spacing w:line="240" w:lineRule="auto"/>
                      <w:ind w:right="300" w:rightChars="100" w:firstLine="0" w:firstLineChars="0"/>
                    </w:pP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t>- 5 -</w: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F2B47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30C855">
                          <w:pPr>
                            <w:pStyle w:val="12"/>
                            <w:spacing w:line="240" w:lineRule="auto"/>
                            <w:ind w:left="300" w:leftChars="100" w:firstLine="0" w:firstLineChars="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t>- 4 -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30C855">
                    <w:pPr>
                      <w:pStyle w:val="12"/>
                      <w:spacing w:line="240" w:lineRule="auto"/>
                      <w:ind w:left="300" w:leftChars="100" w:firstLine="0" w:firstLineChars="0"/>
                    </w:pP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t>- 4 -</w: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F0937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DE9DDC">
                          <w:pPr>
                            <w:pStyle w:val="12"/>
                            <w:spacing w:line="240" w:lineRule="auto"/>
                            <w:ind w:left="300" w:leftChars="100" w:firstLine="0" w:firstLineChars="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t>- 3 -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DE9DDC">
                    <w:pPr>
                      <w:pStyle w:val="12"/>
                      <w:spacing w:line="240" w:lineRule="auto"/>
                      <w:ind w:left="300" w:leftChars="100" w:firstLine="0" w:firstLineChars="0"/>
                    </w:pP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t>- 3 -</w:t>
                    </w:r>
                    <w:r>
                      <w:rPr>
                        <w:rFonts w:hint="eastAsia" w:ascii="宋体" w:hAnsi="宋体" w:eastAsia="宋体" w:cs="宋体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  <w:t xml:space="preserve">— </w:t>
    </w:r>
    <w:fldSimple w:instr=" PAGE ">
      <w:r>
        <w:t>1</w:t>
      </w:r>
    </w:fldSimple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00"/>
      </w:pPr>
      <w:r>
        <w:separator/>
      </w:r>
    </w:p>
  </w:footnote>
  <w:footnote w:type="continuationSeparator" w:id="1">
    <w:p>
      <w:pPr>
        <w:spacing w:line="360" w:lineRule="auto"/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D088A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7AE8F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14319">
    <w:pPr>
      <w:pStyle w:val="13"/>
      <w:jc w:val="center"/>
      <w:rPr>
        <w:rFonts w:hint="default" w:eastAsia="方正仿宋简体"/>
        <w:sz w:val="36"/>
        <w:szCs w:val="56"/>
        <w:lang w:val="en-US" w:eastAsia="zh-CN"/>
      </w:rPr>
    </w:pPr>
    <w:r>
      <w:rPr>
        <w:rFonts w:hint="eastAsia"/>
        <w:sz w:val="36"/>
        <w:szCs w:val="56"/>
      </w:rPr>
      <w:t>EMS-SCADA控制</w:t>
    </w:r>
    <w:r>
      <w:rPr>
        <w:rFonts w:hint="eastAsia"/>
        <w:sz w:val="36"/>
        <w:szCs w:val="56"/>
        <w:lang w:val="en-US" w:eastAsia="zh-CN"/>
      </w:rPr>
      <w:t>软件V1.0操作说明书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EFC22">
    <w:pPr>
      <w:pStyle w:val="1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30FFB">
    <w:pPr>
      <w:pStyle w:val="1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E6297">
    <w:pPr>
      <w:pStyle w:val="1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EC806">
    <w:pPr>
      <w:pStyle w:val="1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88C06">
    <w:pPr>
      <w:pStyle w:val="13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CE14D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9F0DD"/>
    <w:multiLevelType w:val="singleLevel"/>
    <w:tmpl w:val="8B29F0DD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91AAAEE7"/>
    <w:multiLevelType w:val="singleLevel"/>
    <w:tmpl w:val="91AAAEE7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92DCE469"/>
    <w:multiLevelType w:val="singleLevel"/>
    <w:tmpl w:val="92DCE469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A081C036"/>
    <w:multiLevelType w:val="singleLevel"/>
    <w:tmpl w:val="A081C03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AEBFD8F5"/>
    <w:multiLevelType w:val="singleLevel"/>
    <w:tmpl w:val="AEBFD8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F6C0547"/>
    <w:multiLevelType w:val="singleLevel"/>
    <w:tmpl w:val="AF6C0547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B1AF7BDC"/>
    <w:multiLevelType w:val="singleLevel"/>
    <w:tmpl w:val="B1AF7BD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F5D3D45"/>
    <w:multiLevelType w:val="singleLevel"/>
    <w:tmpl w:val="CF5D3D45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DAF684A7"/>
    <w:multiLevelType w:val="singleLevel"/>
    <w:tmpl w:val="DAF684A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E28EDF54"/>
    <w:multiLevelType w:val="singleLevel"/>
    <w:tmpl w:val="E28EDF5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0">
    <w:nsid w:val="E7431C50"/>
    <w:multiLevelType w:val="singleLevel"/>
    <w:tmpl w:val="E7431C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EA006BD1"/>
    <w:multiLevelType w:val="singleLevel"/>
    <w:tmpl w:val="EA006BD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>
    <w:nsid w:val="EB9B1553"/>
    <w:multiLevelType w:val="singleLevel"/>
    <w:tmpl w:val="EB9B155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F19AC934"/>
    <w:multiLevelType w:val="singleLevel"/>
    <w:tmpl w:val="F19AC93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FD6C1832"/>
    <w:multiLevelType w:val="singleLevel"/>
    <w:tmpl w:val="FD6C1832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2FC2AB53"/>
    <w:multiLevelType w:val="singleLevel"/>
    <w:tmpl w:val="2FC2AB5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6">
    <w:nsid w:val="3A125318"/>
    <w:multiLevelType w:val="singleLevel"/>
    <w:tmpl w:val="3A1253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7">
    <w:nsid w:val="3AE87C2F"/>
    <w:multiLevelType w:val="multilevel"/>
    <w:tmpl w:val="3AE87C2F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8">
    <w:nsid w:val="746305D2"/>
    <w:multiLevelType w:val="singleLevel"/>
    <w:tmpl w:val="746305D2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7"/>
  </w:num>
  <w:num w:numId="2">
    <w:abstractNumId w:val="16"/>
  </w:num>
  <w:num w:numId="3">
    <w:abstractNumId w:val="7"/>
  </w:num>
  <w:num w:numId="4">
    <w:abstractNumId w:val="4"/>
  </w:num>
  <w:num w:numId="5">
    <w:abstractNumId w:val="15"/>
  </w:num>
  <w:num w:numId="6">
    <w:abstractNumId w:val="11"/>
  </w:num>
  <w:num w:numId="7">
    <w:abstractNumId w:val="10"/>
  </w:num>
  <w:num w:numId="8">
    <w:abstractNumId w:val="12"/>
  </w:num>
  <w:num w:numId="9">
    <w:abstractNumId w:val="3"/>
  </w:num>
  <w:num w:numId="10">
    <w:abstractNumId w:val="2"/>
  </w:num>
  <w:num w:numId="11">
    <w:abstractNumId w:val="8"/>
  </w:num>
  <w:num w:numId="12">
    <w:abstractNumId w:val="18"/>
  </w:num>
  <w:num w:numId="13">
    <w:abstractNumId w:val="1"/>
  </w:num>
  <w:num w:numId="14">
    <w:abstractNumId w:val="5"/>
  </w:num>
  <w:num w:numId="15">
    <w:abstractNumId w:val="14"/>
  </w:num>
  <w:num w:numId="16">
    <w:abstractNumId w:val="0"/>
  </w:num>
  <w:num w:numId="17">
    <w:abstractNumId w:val="13"/>
  </w:num>
  <w:num w:numId="18">
    <w:abstractNumId w:val="9"/>
  </w:num>
  <w:num w:numId="19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rika">
    <w15:presenceInfo w15:providerId="None" w15:userId="Erik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68C"/>
    <w:rsid w:val="0036768C"/>
    <w:rsid w:val="005D19BA"/>
    <w:rsid w:val="00630179"/>
    <w:rsid w:val="008D21F5"/>
    <w:rsid w:val="00A0212C"/>
    <w:rsid w:val="00C32680"/>
    <w:rsid w:val="00E55F0F"/>
    <w:rsid w:val="00F1579C"/>
    <w:rsid w:val="011D0456"/>
    <w:rsid w:val="0137407A"/>
    <w:rsid w:val="01B74261"/>
    <w:rsid w:val="01DF5589"/>
    <w:rsid w:val="020E02AA"/>
    <w:rsid w:val="023B0DD8"/>
    <w:rsid w:val="02C06C91"/>
    <w:rsid w:val="02FF5E45"/>
    <w:rsid w:val="03491AC1"/>
    <w:rsid w:val="03B1713F"/>
    <w:rsid w:val="03C17B39"/>
    <w:rsid w:val="041651F4"/>
    <w:rsid w:val="043A3082"/>
    <w:rsid w:val="04C61966"/>
    <w:rsid w:val="055424CE"/>
    <w:rsid w:val="05B178CA"/>
    <w:rsid w:val="05F62C36"/>
    <w:rsid w:val="062956B3"/>
    <w:rsid w:val="06BF391E"/>
    <w:rsid w:val="07377CD4"/>
    <w:rsid w:val="074D4992"/>
    <w:rsid w:val="078C06BC"/>
    <w:rsid w:val="08250C03"/>
    <w:rsid w:val="08406399"/>
    <w:rsid w:val="0890741D"/>
    <w:rsid w:val="08F97D45"/>
    <w:rsid w:val="092F615A"/>
    <w:rsid w:val="09A129E2"/>
    <w:rsid w:val="0A9450C5"/>
    <w:rsid w:val="0AAD5156"/>
    <w:rsid w:val="0AC6699F"/>
    <w:rsid w:val="0ADA3D3D"/>
    <w:rsid w:val="0B154457"/>
    <w:rsid w:val="0BC732B1"/>
    <w:rsid w:val="0BE22C8C"/>
    <w:rsid w:val="0C281202"/>
    <w:rsid w:val="0C6640A3"/>
    <w:rsid w:val="0CA07AD1"/>
    <w:rsid w:val="0CDE6ACB"/>
    <w:rsid w:val="0D003464"/>
    <w:rsid w:val="0DD15D3A"/>
    <w:rsid w:val="0DED6FC6"/>
    <w:rsid w:val="0E5C05EF"/>
    <w:rsid w:val="0ECB39D4"/>
    <w:rsid w:val="0F0A004B"/>
    <w:rsid w:val="0F470958"/>
    <w:rsid w:val="0FC03992"/>
    <w:rsid w:val="104D56D4"/>
    <w:rsid w:val="10E5040F"/>
    <w:rsid w:val="11307074"/>
    <w:rsid w:val="11532CA1"/>
    <w:rsid w:val="11943BFC"/>
    <w:rsid w:val="120D40DA"/>
    <w:rsid w:val="12B94D6F"/>
    <w:rsid w:val="12F847D6"/>
    <w:rsid w:val="12FB02BC"/>
    <w:rsid w:val="13754E49"/>
    <w:rsid w:val="13F37300"/>
    <w:rsid w:val="14ED7BA3"/>
    <w:rsid w:val="151A1C12"/>
    <w:rsid w:val="157D6CD0"/>
    <w:rsid w:val="15AB27F8"/>
    <w:rsid w:val="15C70A44"/>
    <w:rsid w:val="16AF1A84"/>
    <w:rsid w:val="16C422CA"/>
    <w:rsid w:val="16E3540A"/>
    <w:rsid w:val="174C7453"/>
    <w:rsid w:val="17795D6E"/>
    <w:rsid w:val="17B44371"/>
    <w:rsid w:val="180E5D05"/>
    <w:rsid w:val="18AD238B"/>
    <w:rsid w:val="18D55267"/>
    <w:rsid w:val="197E58BE"/>
    <w:rsid w:val="1AA81739"/>
    <w:rsid w:val="1AEB73B7"/>
    <w:rsid w:val="1B395F40"/>
    <w:rsid w:val="1B92294E"/>
    <w:rsid w:val="1C900D6C"/>
    <w:rsid w:val="1CD51C99"/>
    <w:rsid w:val="1DB16262"/>
    <w:rsid w:val="1E4960DD"/>
    <w:rsid w:val="1E782E0B"/>
    <w:rsid w:val="1EC16A83"/>
    <w:rsid w:val="1ED57D2E"/>
    <w:rsid w:val="1F3F6C68"/>
    <w:rsid w:val="1F44705C"/>
    <w:rsid w:val="1F6317DE"/>
    <w:rsid w:val="1FEB3581"/>
    <w:rsid w:val="202B5D1B"/>
    <w:rsid w:val="20B736BA"/>
    <w:rsid w:val="20C02CBB"/>
    <w:rsid w:val="210C5CAC"/>
    <w:rsid w:val="213B5E92"/>
    <w:rsid w:val="217B46FD"/>
    <w:rsid w:val="21A373DA"/>
    <w:rsid w:val="220216B8"/>
    <w:rsid w:val="22452A44"/>
    <w:rsid w:val="22914588"/>
    <w:rsid w:val="232C638A"/>
    <w:rsid w:val="23604FCF"/>
    <w:rsid w:val="23877EC8"/>
    <w:rsid w:val="23BB4C2C"/>
    <w:rsid w:val="24053694"/>
    <w:rsid w:val="24240DD8"/>
    <w:rsid w:val="245810F0"/>
    <w:rsid w:val="24BD3555"/>
    <w:rsid w:val="254C7F45"/>
    <w:rsid w:val="255372CC"/>
    <w:rsid w:val="25B83F05"/>
    <w:rsid w:val="25F51053"/>
    <w:rsid w:val="26795443"/>
    <w:rsid w:val="26B46AF8"/>
    <w:rsid w:val="26BB5599"/>
    <w:rsid w:val="26E56F7C"/>
    <w:rsid w:val="26EC5D68"/>
    <w:rsid w:val="270C62B7"/>
    <w:rsid w:val="27147861"/>
    <w:rsid w:val="27D03788"/>
    <w:rsid w:val="27EF3A04"/>
    <w:rsid w:val="28033AFA"/>
    <w:rsid w:val="285223EF"/>
    <w:rsid w:val="28D5368A"/>
    <w:rsid w:val="28EF7C3E"/>
    <w:rsid w:val="29194CBB"/>
    <w:rsid w:val="2940049A"/>
    <w:rsid w:val="295D5341"/>
    <w:rsid w:val="29E87CCF"/>
    <w:rsid w:val="2A076CCE"/>
    <w:rsid w:val="2A8555CF"/>
    <w:rsid w:val="2AC80811"/>
    <w:rsid w:val="2AF84813"/>
    <w:rsid w:val="2B5244B4"/>
    <w:rsid w:val="2BE9496F"/>
    <w:rsid w:val="2C5D5807"/>
    <w:rsid w:val="2CB01DDA"/>
    <w:rsid w:val="2CB97AED"/>
    <w:rsid w:val="2CDA6E57"/>
    <w:rsid w:val="2CDE44AA"/>
    <w:rsid w:val="2D5B1D46"/>
    <w:rsid w:val="2D6A3D37"/>
    <w:rsid w:val="2E162111"/>
    <w:rsid w:val="2E2D667D"/>
    <w:rsid w:val="2E4D5985"/>
    <w:rsid w:val="2E4E18AB"/>
    <w:rsid w:val="2E6A2D37"/>
    <w:rsid w:val="2F5843E5"/>
    <w:rsid w:val="300541EB"/>
    <w:rsid w:val="30C5021C"/>
    <w:rsid w:val="314630E4"/>
    <w:rsid w:val="31A5648E"/>
    <w:rsid w:val="31EA7C43"/>
    <w:rsid w:val="32477596"/>
    <w:rsid w:val="324F79A0"/>
    <w:rsid w:val="3295408B"/>
    <w:rsid w:val="32F109A3"/>
    <w:rsid w:val="3359561A"/>
    <w:rsid w:val="34476B80"/>
    <w:rsid w:val="358E4D1F"/>
    <w:rsid w:val="35EF5721"/>
    <w:rsid w:val="36946B19"/>
    <w:rsid w:val="3724764D"/>
    <w:rsid w:val="3795413E"/>
    <w:rsid w:val="37AF3594"/>
    <w:rsid w:val="37B77617"/>
    <w:rsid w:val="385B7258"/>
    <w:rsid w:val="38BF6081"/>
    <w:rsid w:val="391B682D"/>
    <w:rsid w:val="39673821"/>
    <w:rsid w:val="39CB0253"/>
    <w:rsid w:val="3A20047A"/>
    <w:rsid w:val="3A4B3142"/>
    <w:rsid w:val="3A533A27"/>
    <w:rsid w:val="3A744447"/>
    <w:rsid w:val="3BAA3FB1"/>
    <w:rsid w:val="3BAF77E5"/>
    <w:rsid w:val="3C145EE2"/>
    <w:rsid w:val="3C6522FD"/>
    <w:rsid w:val="3C6B33AC"/>
    <w:rsid w:val="3CC75CC4"/>
    <w:rsid w:val="3CF37E0D"/>
    <w:rsid w:val="3D4E71D1"/>
    <w:rsid w:val="3D8250CD"/>
    <w:rsid w:val="3DD0408A"/>
    <w:rsid w:val="3E6A08F3"/>
    <w:rsid w:val="3E9F7AC9"/>
    <w:rsid w:val="3EDA6110"/>
    <w:rsid w:val="3F1207E5"/>
    <w:rsid w:val="3F281CA4"/>
    <w:rsid w:val="3FBA698D"/>
    <w:rsid w:val="40011C8E"/>
    <w:rsid w:val="403112D7"/>
    <w:rsid w:val="40965A05"/>
    <w:rsid w:val="40DF10A8"/>
    <w:rsid w:val="40E37C31"/>
    <w:rsid w:val="4142391F"/>
    <w:rsid w:val="41C106FF"/>
    <w:rsid w:val="41F10240"/>
    <w:rsid w:val="42984E79"/>
    <w:rsid w:val="42B42F61"/>
    <w:rsid w:val="42D24401"/>
    <w:rsid w:val="4317351F"/>
    <w:rsid w:val="434F15AD"/>
    <w:rsid w:val="43EF38A5"/>
    <w:rsid w:val="44150E3F"/>
    <w:rsid w:val="44544A76"/>
    <w:rsid w:val="44784B34"/>
    <w:rsid w:val="450C0A9C"/>
    <w:rsid w:val="451839E4"/>
    <w:rsid w:val="455455A1"/>
    <w:rsid w:val="459A3F8A"/>
    <w:rsid w:val="45ED3300"/>
    <w:rsid w:val="467F21AA"/>
    <w:rsid w:val="47335826"/>
    <w:rsid w:val="475A0604"/>
    <w:rsid w:val="47B265AF"/>
    <w:rsid w:val="47B34B2D"/>
    <w:rsid w:val="47B756B0"/>
    <w:rsid w:val="48EB621C"/>
    <w:rsid w:val="4913307D"/>
    <w:rsid w:val="49722DC1"/>
    <w:rsid w:val="49BF718C"/>
    <w:rsid w:val="4A07623F"/>
    <w:rsid w:val="4A586086"/>
    <w:rsid w:val="4A690031"/>
    <w:rsid w:val="4A7B1ABE"/>
    <w:rsid w:val="4ADC1432"/>
    <w:rsid w:val="4AEB0E78"/>
    <w:rsid w:val="4B1064C5"/>
    <w:rsid w:val="4B1906C2"/>
    <w:rsid w:val="4B1F30D4"/>
    <w:rsid w:val="4B624B25"/>
    <w:rsid w:val="4B7A2D8C"/>
    <w:rsid w:val="4B8B517E"/>
    <w:rsid w:val="4BFF2271"/>
    <w:rsid w:val="4CA20757"/>
    <w:rsid w:val="4CB93F3C"/>
    <w:rsid w:val="4CF80F08"/>
    <w:rsid w:val="4D283CA5"/>
    <w:rsid w:val="4D583170"/>
    <w:rsid w:val="4D7B5CAE"/>
    <w:rsid w:val="4DC4528E"/>
    <w:rsid w:val="4E1B3100"/>
    <w:rsid w:val="4E1F261C"/>
    <w:rsid w:val="4E2B70BB"/>
    <w:rsid w:val="4E415EAA"/>
    <w:rsid w:val="4ECA55D0"/>
    <w:rsid w:val="4F3754DF"/>
    <w:rsid w:val="4F9A2425"/>
    <w:rsid w:val="4FB82BD0"/>
    <w:rsid w:val="503E1327"/>
    <w:rsid w:val="50505EC7"/>
    <w:rsid w:val="50833C49"/>
    <w:rsid w:val="50C3469E"/>
    <w:rsid w:val="50DB26D2"/>
    <w:rsid w:val="50EA1EA1"/>
    <w:rsid w:val="51054EFA"/>
    <w:rsid w:val="51124210"/>
    <w:rsid w:val="511C4B20"/>
    <w:rsid w:val="522F2D99"/>
    <w:rsid w:val="52367F5F"/>
    <w:rsid w:val="524467B4"/>
    <w:rsid w:val="52553923"/>
    <w:rsid w:val="529C10FB"/>
    <w:rsid w:val="52F42171"/>
    <w:rsid w:val="534F37BA"/>
    <w:rsid w:val="53D7279A"/>
    <w:rsid w:val="53FA3C53"/>
    <w:rsid w:val="543842E0"/>
    <w:rsid w:val="543A1FA2"/>
    <w:rsid w:val="54D73AF9"/>
    <w:rsid w:val="54DB5397"/>
    <w:rsid w:val="55011C19"/>
    <w:rsid w:val="55171D5C"/>
    <w:rsid w:val="55A164CA"/>
    <w:rsid w:val="5634007B"/>
    <w:rsid w:val="566C3A58"/>
    <w:rsid w:val="56C854A7"/>
    <w:rsid w:val="572A730E"/>
    <w:rsid w:val="5809477E"/>
    <w:rsid w:val="583F7763"/>
    <w:rsid w:val="59815DE1"/>
    <w:rsid w:val="5A00764E"/>
    <w:rsid w:val="5A7122F9"/>
    <w:rsid w:val="5B0B27EC"/>
    <w:rsid w:val="5B226EEB"/>
    <w:rsid w:val="5B276899"/>
    <w:rsid w:val="5B3D4982"/>
    <w:rsid w:val="5B8878FB"/>
    <w:rsid w:val="5BBD41C5"/>
    <w:rsid w:val="5C641B24"/>
    <w:rsid w:val="5C9347A9"/>
    <w:rsid w:val="5CAA564F"/>
    <w:rsid w:val="5CD22158"/>
    <w:rsid w:val="5CFE0559"/>
    <w:rsid w:val="5D1E0F52"/>
    <w:rsid w:val="5D647000"/>
    <w:rsid w:val="5EDF7832"/>
    <w:rsid w:val="5EE611B5"/>
    <w:rsid w:val="5F0B67F5"/>
    <w:rsid w:val="5F5F6BC4"/>
    <w:rsid w:val="5FB05A09"/>
    <w:rsid w:val="5FC66C44"/>
    <w:rsid w:val="5FEC35B3"/>
    <w:rsid w:val="60145C01"/>
    <w:rsid w:val="6082700E"/>
    <w:rsid w:val="60C76855"/>
    <w:rsid w:val="611F32C9"/>
    <w:rsid w:val="619D77B2"/>
    <w:rsid w:val="61A00737"/>
    <w:rsid w:val="61C52EF5"/>
    <w:rsid w:val="6229523A"/>
    <w:rsid w:val="62347E94"/>
    <w:rsid w:val="62B94747"/>
    <w:rsid w:val="62F81FED"/>
    <w:rsid w:val="63750765"/>
    <w:rsid w:val="63C274B8"/>
    <w:rsid w:val="6481138B"/>
    <w:rsid w:val="64AD2180"/>
    <w:rsid w:val="64E03518"/>
    <w:rsid w:val="651B7353"/>
    <w:rsid w:val="652D3E04"/>
    <w:rsid w:val="65A92947"/>
    <w:rsid w:val="65D35F9E"/>
    <w:rsid w:val="665E5B82"/>
    <w:rsid w:val="66925AD1"/>
    <w:rsid w:val="66D93700"/>
    <w:rsid w:val="66DE60D0"/>
    <w:rsid w:val="67076E46"/>
    <w:rsid w:val="670818F0"/>
    <w:rsid w:val="679C2ADC"/>
    <w:rsid w:val="681E22E0"/>
    <w:rsid w:val="688360C5"/>
    <w:rsid w:val="69031659"/>
    <w:rsid w:val="692D5039"/>
    <w:rsid w:val="6953779A"/>
    <w:rsid w:val="69821E2D"/>
    <w:rsid w:val="69923A21"/>
    <w:rsid w:val="69B47B0D"/>
    <w:rsid w:val="69EA02D1"/>
    <w:rsid w:val="6A072332"/>
    <w:rsid w:val="6A4A1033"/>
    <w:rsid w:val="6A5A768C"/>
    <w:rsid w:val="6A953FED"/>
    <w:rsid w:val="6A9F07BD"/>
    <w:rsid w:val="6AA656A7"/>
    <w:rsid w:val="6ACA3A8C"/>
    <w:rsid w:val="6B547390"/>
    <w:rsid w:val="6C1272B7"/>
    <w:rsid w:val="6C367E96"/>
    <w:rsid w:val="6C862237"/>
    <w:rsid w:val="6D0D7EFA"/>
    <w:rsid w:val="6DC615E8"/>
    <w:rsid w:val="6DD135E5"/>
    <w:rsid w:val="6E6F2284"/>
    <w:rsid w:val="6E7D4083"/>
    <w:rsid w:val="6E9D3265"/>
    <w:rsid w:val="6EAF400D"/>
    <w:rsid w:val="6EE01B59"/>
    <w:rsid w:val="6F143527"/>
    <w:rsid w:val="6FBA17E0"/>
    <w:rsid w:val="70270AE8"/>
    <w:rsid w:val="704A7047"/>
    <w:rsid w:val="707D6EAA"/>
    <w:rsid w:val="712E50BB"/>
    <w:rsid w:val="714E2C54"/>
    <w:rsid w:val="714F68F5"/>
    <w:rsid w:val="71AE3282"/>
    <w:rsid w:val="720A6E64"/>
    <w:rsid w:val="72907369"/>
    <w:rsid w:val="735C0F53"/>
    <w:rsid w:val="74310392"/>
    <w:rsid w:val="7445564D"/>
    <w:rsid w:val="7474619D"/>
    <w:rsid w:val="74E41BEE"/>
    <w:rsid w:val="74E93BDD"/>
    <w:rsid w:val="753F6B6A"/>
    <w:rsid w:val="75741886"/>
    <w:rsid w:val="759F5B15"/>
    <w:rsid w:val="75E40BB4"/>
    <w:rsid w:val="764566BC"/>
    <w:rsid w:val="76D37824"/>
    <w:rsid w:val="76D435FA"/>
    <w:rsid w:val="76DB0DCF"/>
    <w:rsid w:val="77A33DD6"/>
    <w:rsid w:val="77A6490E"/>
    <w:rsid w:val="77AB69F3"/>
    <w:rsid w:val="78181816"/>
    <w:rsid w:val="78293169"/>
    <w:rsid w:val="78445F53"/>
    <w:rsid w:val="78AA0A59"/>
    <w:rsid w:val="78E84DF7"/>
    <w:rsid w:val="797A314C"/>
    <w:rsid w:val="79BD47BC"/>
    <w:rsid w:val="7A0F77C4"/>
    <w:rsid w:val="7A4259A3"/>
    <w:rsid w:val="7A4D17B6"/>
    <w:rsid w:val="7B8C00FB"/>
    <w:rsid w:val="7BDC361F"/>
    <w:rsid w:val="7C5E33A5"/>
    <w:rsid w:val="7C887617"/>
    <w:rsid w:val="7CAB2FF1"/>
    <w:rsid w:val="7D167ECD"/>
    <w:rsid w:val="7D337EF4"/>
    <w:rsid w:val="7D4D7D78"/>
    <w:rsid w:val="7DF3318D"/>
    <w:rsid w:val="7E8B6C36"/>
    <w:rsid w:val="7EB65E72"/>
    <w:rsid w:val="7ED9319D"/>
    <w:rsid w:val="7EF14F94"/>
    <w:rsid w:val="7F0C557C"/>
    <w:rsid w:val="7FA966FF"/>
    <w:rsid w:val="7FF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600" w:firstLineChars="200"/>
      <w:jc w:val="both"/>
    </w:pPr>
    <w:rPr>
      <w:rFonts w:ascii="Times New Roman" w:hAnsi="Times New Roman" w:eastAsia="方正仿宋简体" w:cs="Times New Roman"/>
      <w:color w:val="000000"/>
      <w:sz w:val="30"/>
      <w:szCs w:val="28"/>
      <w:lang w:val="en-US" w:eastAsia="zh-CN" w:bidi="ar-SA"/>
    </w:rPr>
  </w:style>
  <w:style w:type="paragraph" w:styleId="2">
    <w:name w:val="heading 1"/>
    <w:next w:val="1"/>
    <w:qFormat/>
    <w:uiPriority w:val="0"/>
    <w:pPr>
      <w:numPr>
        <w:ilvl w:val="0"/>
        <w:numId w:val="1"/>
      </w:numPr>
      <w:bidi w:val="0"/>
      <w:adjustRightInd/>
      <w:snapToGrid/>
      <w:spacing w:before="0" w:after="0" w:line="360" w:lineRule="auto"/>
      <w:ind w:left="432" w:leftChars="0" w:hanging="432" w:firstLineChars="0"/>
      <w:outlineLvl w:val="0"/>
    </w:pPr>
    <w:rPr>
      <w:rFonts w:ascii="Times New Roman" w:hAnsi="Times New Roman" w:eastAsia="黑体" w:cs="Times New Roman"/>
      <w:b/>
      <w:bCs/>
      <w:color w:val="000000"/>
      <w:sz w:val="32"/>
      <w:szCs w:val="44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ind w:left="575" w:hanging="575" w:firstLineChars="0"/>
      <w:outlineLvl w:val="1"/>
    </w:pPr>
    <w:rPr>
      <w:rFonts w:ascii="Times New Roman" w:hAnsi="Times New Roman" w:eastAsia="方正楷体_GBK"/>
      <w:b/>
      <w:bCs/>
      <w:sz w:val="30"/>
      <w:szCs w:val="40"/>
    </w:rPr>
  </w:style>
  <w:style w:type="paragraph" w:styleId="4">
    <w:name w:val="heading 3"/>
    <w:next w:val="1"/>
    <w:link w:val="22"/>
    <w:qFormat/>
    <w:uiPriority w:val="0"/>
    <w:pPr>
      <w:numPr>
        <w:ilvl w:val="2"/>
        <w:numId w:val="1"/>
      </w:numPr>
      <w:spacing w:line="360" w:lineRule="auto"/>
      <w:ind w:left="720" w:hanging="720"/>
      <w:outlineLvl w:val="2"/>
    </w:pPr>
    <w:rPr>
      <w:rFonts w:ascii="Times New Roman" w:hAnsi="Times New Roman" w:eastAsia="方正仿宋简体" w:cs="Times New Roman"/>
      <w:b/>
      <w:bCs/>
      <w:color w:val="000000"/>
      <w:sz w:val="30"/>
      <w:szCs w:val="36"/>
      <w:lang w:val="en-US" w:eastAsia="zh-CN" w:bidi="ar-SA"/>
    </w:rPr>
  </w:style>
  <w:style w:type="paragraph" w:styleId="5">
    <w:name w:val="heading 4"/>
    <w:next w:val="1"/>
    <w:qFormat/>
    <w:uiPriority w:val="0"/>
    <w:pPr>
      <w:numPr>
        <w:ilvl w:val="3"/>
        <w:numId w:val="1"/>
      </w:numPr>
      <w:spacing w:before="240" w:after="120"/>
      <w:ind w:left="864" w:hanging="864"/>
      <w:outlineLvl w:val="3"/>
    </w:pPr>
    <w:rPr>
      <w:rFonts w:ascii="Times New Roman" w:hAnsi="Times New Roman" w:eastAsia="Times New Roman" w:cs="Times New Roman"/>
      <w:b/>
      <w:bCs/>
      <w:color w:val="000000"/>
      <w:sz w:val="32"/>
      <w:szCs w:val="32"/>
      <w:lang w:val="en-US" w:eastAsia="zh-CN" w:bidi="ar-SA"/>
    </w:rPr>
  </w:style>
  <w:style w:type="paragraph" w:styleId="6">
    <w:name w:val="heading 5"/>
    <w:next w:val="1"/>
    <w:qFormat/>
    <w:uiPriority w:val="0"/>
    <w:pPr>
      <w:numPr>
        <w:ilvl w:val="4"/>
        <w:numId w:val="1"/>
      </w:numPr>
      <w:spacing w:before="240" w:after="120"/>
      <w:ind w:left="1008" w:hanging="1008"/>
      <w:outlineLvl w:val="4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en-US" w:eastAsia="zh-CN" w:bidi="ar-SA"/>
    </w:rPr>
  </w:style>
  <w:style w:type="paragraph" w:styleId="7">
    <w:name w:val="heading 6"/>
    <w:next w:val="1"/>
    <w:qFormat/>
    <w:uiPriority w:val="0"/>
    <w:pPr>
      <w:numPr>
        <w:ilvl w:val="5"/>
        <w:numId w:val="1"/>
      </w:numPr>
      <w:spacing w:before="240" w:after="120"/>
      <w:ind w:left="1151" w:hanging="1151"/>
      <w:outlineLvl w:val="5"/>
    </w:pPr>
    <w:rPr>
      <w:rFonts w:ascii="Times New Roman" w:hAnsi="Times New Roman" w:eastAsia="Times New Roman" w:cs="Times New Roman"/>
      <w:b/>
      <w:bCs/>
      <w:color w:val="000000"/>
      <w:sz w:val="28"/>
      <w:szCs w:val="28"/>
      <w:lang w:val="en-US" w:eastAsia="zh-CN" w:bidi="ar-SA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Normal (Web)"/>
    <w:basedOn w:val="1"/>
    <w:qFormat/>
    <w:uiPriority w:val="0"/>
    <w:rPr>
      <w:sz w:val="24"/>
    </w:rPr>
  </w:style>
  <w:style w:type="paragraph" w:styleId="15">
    <w:name w:val="Title"/>
    <w:basedOn w:val="1"/>
    <w:next w:val="1"/>
    <w:qFormat/>
    <w:uiPriority w:val="0"/>
    <w:pPr>
      <w:ind w:firstLine="0" w:firstLineChars="0"/>
      <w:jc w:val="center"/>
    </w:pPr>
    <w:rPr>
      <w:rFonts w:ascii="Times New Roman" w:hAnsi="Times New Roman" w:eastAsia="方正小标宋简体"/>
      <w:b/>
      <w:sz w:val="36"/>
      <w:szCs w:val="56"/>
    </w:r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TML Code"/>
    <w:basedOn w:val="18"/>
    <w:qFormat/>
    <w:uiPriority w:val="0"/>
    <w:rPr>
      <w:rFonts w:ascii="Courier New" w:hAnsi="Courier New"/>
      <w:sz w:val="20"/>
    </w:rPr>
  </w:style>
  <w:style w:type="paragraph" w:customStyle="1" w:styleId="21">
    <w:name w:val="表格"/>
    <w:basedOn w:val="1"/>
    <w:qFormat/>
    <w:uiPriority w:val="0"/>
    <w:pPr>
      <w:spacing w:line="240" w:lineRule="auto"/>
      <w:ind w:firstLine="0" w:firstLineChars="0"/>
    </w:pPr>
    <w:rPr>
      <w:sz w:val="24"/>
    </w:rPr>
  </w:style>
  <w:style w:type="character" w:customStyle="1" w:styleId="22">
    <w:name w:val="标题 3 Char"/>
    <w:link w:val="4"/>
    <w:qFormat/>
    <w:uiPriority w:val="0"/>
    <w:rPr>
      <w:rFonts w:ascii="Times New Roman" w:hAnsi="Times New Roman" w:eastAsia="方正仿宋简体" w:cs="Times New Roman"/>
      <w:b/>
      <w:bCs/>
      <w:color w:val="000000"/>
      <w:sz w:val="30"/>
      <w:szCs w:val="36"/>
      <w:lang w:val="en-US" w:eastAsia="zh-CN" w:bidi="ar-SA"/>
    </w:rPr>
  </w:style>
  <w:style w:type="paragraph" w:customStyle="1" w:styleId="Mulu1">
    <w:name w:val="Mulu 1"/>
    <w:basedOn w:val="1"/>
    <w:pPr>
      <w:tabs>
        <w:tab w:pos="9746" w:val="right" w:leader="dot"/>
      </w:tabs>
      <w:spacing w:before="140" w:after="40" w:line="288" w:lineRule="auto"/>
      <w:ind w:firstLine="0" w:left="0"/>
    </w:pPr>
    <w:rPr>
      <w:rFonts w:ascii="Times New Roman" w:hAnsi="Times New Roman" w:eastAsia="黑体"/>
      <w:b/>
      <w:sz w:val="22"/>
    </w:rPr>
  </w:style>
  <w:style w:type="paragraph" w:customStyle="1" w:styleId="Mulu2">
    <w:name w:val="Mulu 2"/>
    <w:basedOn w:val="1"/>
    <w:pPr>
      <w:tabs>
        <w:tab w:pos="9746" w:val="right" w:leader="dot"/>
      </w:tabs>
      <w:spacing w:before="0" w:after="40" w:line="288" w:lineRule="auto"/>
      <w:ind w:firstLine="0" w:left="482"/>
    </w:pPr>
    <w:rPr>
      <w:rFonts w:ascii="Times New Roman" w:hAnsi="Times New Roman" w:eastAsia="仿宋"/>
      <w:b w:val="0"/>
      <w:sz w:val="2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9" Type="http://schemas.microsoft.com/office/2011/relationships/people" Target="people.xml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customXml" Target="../customXml/item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oleObject" Target="embeddings/oleObject1.bin"/><Relationship Id="rId23" Type="http://schemas.openxmlformats.org/officeDocument/2006/relationships/theme" Target="theme/theme1.xml"/><Relationship Id="rId22" Type="http://schemas.openxmlformats.org/officeDocument/2006/relationships/footer" Target="footer9.xml"/><Relationship Id="rId21" Type="http://schemas.openxmlformats.org/officeDocument/2006/relationships/footer" Target="footer8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header" Target="header8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70" Type="http://schemas.openxmlformats.org/officeDocument/2006/relationships/footer" Target="footer10.xml"/><Relationship Id="rId71" Type="http://schemas.openxmlformats.org/officeDocument/2006/relationships/image" Target="media/image42.png"/><Relationship Id="rId72" Type="http://schemas.openxmlformats.org/officeDocument/2006/relationships/image" Target="media/image43.png"/><Relationship Id="rId73" Type="http://schemas.openxmlformats.org/officeDocument/2006/relationships/image" Target="media/image44.png"/><Relationship Id="rId74" Type="http://schemas.openxmlformats.org/officeDocument/2006/relationships/image" Target="media/image45.png"/><Relationship Id="rId75" Type="http://schemas.openxmlformats.org/officeDocument/2006/relationships/image" Target="media/image46.png"/><Relationship Id="rId76" Type="http://schemas.openxmlformats.org/officeDocument/2006/relationships/image" Target="media/image47.png"/><Relationship Id="rId77" Type="http://schemas.openxmlformats.org/officeDocument/2006/relationships/image" Target="media/image48.png"/><Relationship Id="rId78" Type="http://schemas.openxmlformats.org/officeDocument/2006/relationships/image" Target="media/image49.png"/><Relationship Id="rId79" Type="http://schemas.openxmlformats.org/officeDocument/2006/relationships/image" Target="media/image50.png"/><Relationship Id="rId80" Type="http://schemas.openxmlformats.org/officeDocument/2006/relationships/image" Target="media/image51.png"/><Relationship Id="rId81" Type="http://schemas.openxmlformats.org/officeDocument/2006/relationships/image" Target="media/image52.png"/><Relationship Id="rId82" Type="http://schemas.openxmlformats.org/officeDocument/2006/relationships/image" Target="media/image53.png"/><Relationship Id="rId83" Type="http://schemas.openxmlformats.org/officeDocument/2006/relationships/image" Target="media/image54.png"/><Relationship Id="rId84" Type="http://schemas.openxmlformats.org/officeDocument/2006/relationships/image" Target="media/image55.png"/><Relationship Id="rId85" Type="http://schemas.openxmlformats.org/officeDocument/2006/relationships/image" Target="media/image56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3759</Words>
  <Characters>4427</Characters>
  <Lines>15</Lines>
  <Paragraphs>4</Paragraphs>
  <TotalTime>15</TotalTime>
  <ScaleCrop>false</ScaleCrop>
  <LinksUpToDate>false</LinksUpToDate>
  <CharactersWithSpaces>4586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2026-04-05T08:16:00Z</dcterms:created>
  <dc:creator>Un-named</dc:creator>
  <cp:lastModifiedBy>Erika</cp:lastModifiedBy>
  <dcterms:modified xsi:type="dcterms:W3CDTF">2026-08-19T08:43:37Z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eyJoZGlkIjoiMzgxMzA3MmEwZjBjNzQ1NmUwNGM2YzMzMWM5NTc4ZDEiLCJ1c2VySWQiOiIxMDY2MTYwMzM5In0=</vt:lpwstr>
  </property>
  <property fmtid="{D5CDD505-2E9C-101B-9397-08002B2CF9AE}" pid="3" name="KSOProductBuildVer">
    <vt:lpwstr>2052-12.1.0.28043</vt:lpwstr>
  </property>
  <property fmtid="{D5CDD505-2E9C-101B-9397-08002B2CF9AE}" pid="4" name="ICV">
    <vt:lpwstr>3FB3A2068BE24CC188E10111C0FE86F4_13</vt:lpwstr>
  </property>
</Properties>
</file>