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数据库性能对比报告</w:t>
      </w:r>
    </w:p>
    <w:p>
      <w:pPr>
        <w:jc w:val="center"/>
      </w:pPr>
      <w:r>
        <w:rPr>
          <w:color w:val="666666"/>
          <w:sz w:val="28"/>
        </w:rPr>
        <w:t>sysbench sysbench OLTP 对比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对比结论</w:t>
      </w:r>
    </w:p>
    <w:p>
      <w:pPr>
        <w:pStyle w:val="Heading2"/>
      </w:pPr>
      <w:r>
        <w:t>1.1 对比摘要</w:t>
      </w:r>
    </w:p>
    <w:p>
      <w:r>
        <w:t>本报告对比 1 个产品：sysbench，覆盖 5 个 sysbench 场景。</w:t>
      </w:r>
    </w:p>
    <w:p>
      <w:r>
        <w:rPr>
          <w:i/>
          <w:color w:val="2CA02C"/>
        </w:rPr>
        <w:t>[L1] sysbench 峰值 QPS 最高出现在 oltp_point_select（78,231 @ 512 并发）</w:t>
      </w:r>
    </w:p>
    <w:p>
      <w:r>
        <w:rPr>
          <w:i/>
          <w:color w:val="2CA02C"/>
        </w:rPr>
        <w:t>[L1] sysbench 峰值 QPS 最低出现在 oltp_update_index（13,250 @ 512 并发）</w:t>
      </w:r>
    </w:p>
    <w:p>
      <w:r>
        <w:rPr>
          <w:i/>
          <w:color w:val="2CA02C"/>
        </w:rPr>
        <w:t>[L1] oltp_point_select 并发扩展率 +307.7%（32→1000 threads）</w:t>
      </w:r>
    </w:p>
    <w:p>
      <w:r>
        <w:rPr>
          <w:i/>
          <w:color w:val="2CA02C"/>
        </w:rPr>
        <w:t>[L1] oltp_read_only 并发扩展率 +292.6%（32→1000 threads）</w:t>
      </w:r>
    </w:p>
    <w:p>
      <w:r>
        <w:rPr>
          <w:i/>
          <w:color w:val="2CA02C"/>
        </w:rPr>
        <w:t>[L1] oltp_read_write 并发扩展率 +294.1%（32→1000 threads）</w:t>
      </w:r>
    </w:p>
    <w:p>
      <w:r>
        <w:rPr>
          <w:i/>
          <w:color w:val="2CA02C"/>
        </w:rPr>
        <w:t>[L1] oltp_update_index 并发扩展率 +310.8%（32→1000 threads）</w:t>
      </w:r>
    </w:p>
    <w:p>
      <w:r>
        <w:rPr>
          <w:i/>
          <w:color w:val="2CA02C"/>
        </w:rPr>
        <w:t>[L1] oltp_write_only 并发扩展率 +306.2%（32→1000 threads）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产品列表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产品</w:t>
            </w:r>
          </w:p>
        </w:tc>
      </w:tr>
      <w:tr>
        <w:tc>
          <w:tcPr>
            <w:tcW w:type="dxa" w:w="8640"/>
          </w:tcPr>
          <w:p>
            <w:r>
              <w:t>sysbench</w:t>
            </w:r>
          </w:p>
        </w:tc>
      </w:tr>
    </w:tbl>
    <w:p/>
    <w:p>
      <w:pPr>
        <w:pStyle w:val="Heading2"/>
      </w:pPr>
      <w:r>
        <w:t>2.2 公平性检查</w:t>
      </w:r>
    </w:p>
    <w:p>
      <w:r>
        <w:t>通过</w:t>
      </w:r>
    </w:p>
    <w:p>
      <w:pPr>
        <w:pStyle w:val="Heading1"/>
      </w:pPr>
      <w:r>
        <w:t>第 3 章 全量性能数据</w:t>
      </w:r>
    </w:p>
    <w:p>
      <w:pPr>
        <w:pStyle w:val="Heading2"/>
      </w:pPr>
      <w:r>
        <w:t>3.1 sysbench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性能对比分析</w:t>
      </w:r>
    </w:p>
    <w:p>
      <w:pPr>
        <w:pStyle w:val="Heading2"/>
      </w:pPr>
      <w:r>
        <w:t>4.1 点查对比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sysbench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point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曲线对比</w:t>
      </w:r>
    </w:p>
    <w:p>
      <w:pPr>
        <w:pStyle w:val="Heading2"/>
      </w:pPr>
      <w:r>
        <w:t>4.2 只读对比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sysbench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曲线对比</w:t>
      </w:r>
    </w:p>
    <w:p>
      <w:pPr>
        <w:pStyle w:val="Heading2"/>
      </w:pPr>
      <w:r>
        <w:t>4.3 写入对比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sysbench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0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7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write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7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write_on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曲线对比</w:t>
      </w:r>
    </w:p>
    <w:p>
      <w:pPr>
        <w:pStyle w:val="Heading2"/>
      </w:pPr>
      <w:r>
        <w:t>4.4 混合读写对比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sysbench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曲线对比</w:t>
      </w:r>
    </w:p>
    <w:p>
      <w:pPr>
        <w:pStyle w:val="Heading2"/>
      </w:pPr>
      <w:r>
        <w:t>4.5 索引更新对比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sysbench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update_ind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update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update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曲线对比</w:t>
      </w:r>
    </w:p>
    <w:p>
      <w:pPr>
        <w:pStyle w:val="Heading2"/>
      </w:pPr>
      <w:r>
        <w:t>4.6 综合对比</w:t>
      </w:r>
    </w:p>
    <w:p>
      <w:pPr>
        <w:jc w:val="center"/>
      </w:pPr>
      <w:r>
        <w:rPr>
          <w:color w:val="666666"/>
          <w:sz w:val="18"/>
        </w:rPr>
        <w:t>各场景峰值 QPS 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24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lad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天梯对比</w:t>
      </w:r>
    </w:p>
    <w:p>
      <w:pPr>
        <w:pStyle w:val="Heading1"/>
      </w:pPr>
      <w:r>
        <w:t>第 5 章 结论与建议</w:t>
      </w:r>
    </w:p>
    <w:p>
      <w:pPr>
        <w:pStyle w:val="Heading2"/>
      </w:pPr>
      <w:r>
        <w:t>5.1 选型建议</w:t>
      </w:r>
    </w:p>
    <w:p>
      <w:pPr>
        <w:pStyle w:val="ListBullet"/>
      </w:pPr>
      <w:r>
        <w:t>以上对比数据基于 sysbench OLTP 基准测试，实际生产表现可能因业务特征而有所不同。</w:t>
      </w:r>
    </w:p>
    <w:p>
      <w:pPr>
        <w:pStyle w:val="ListBullet"/>
      </w:pPr>
      <w:r>
        <w:t>建议结合业务最频繁的查询模式（read_only/read_write/point_select）做加权决策。</w:t>
      </w:r>
    </w:p>
    <w:p>
      <w:pPr>
        <w:pStyle w:val="ListBullet"/>
      </w:pPr>
      <w:r>
        <w:t>若需 OLAP 对比，请补充 TPC-H 测试数据。</w:t>
      </w:r>
    </w:p>
    <w:p>
      <w:pPr>
        <w:pStyle w:val="Heading2"/>
      </w:pPr>
      <w:r>
        <w:t>5.2 测试公平性说明</w:t>
      </w:r>
    </w:p>
    <w:p>
      <w:r>
        <w:t>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