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高并发 专项报告</w:t>
      </w:r>
    </w:p>
    <w:p>
      <w:pPr>
        <w:jc w:val="center"/>
      </w:pPr>
      <w:r>
        <w:rPr>
          <w:color w:val="666666"/>
          <w:sz w:val="28"/>
        </w:rPr>
        <w:t>数据库性能客制化分析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分析目标</w:t>
      </w:r>
    </w:p>
    <w:p>
      <w:pPr>
        <w:pStyle w:val="Heading2"/>
      </w:pPr>
      <w:r>
        <w:t>1.1 分析说明</w:t>
      </w:r>
    </w:p>
    <w:p>
      <w:r>
        <w:t>分析高并发场景下的性能瓶颈和极限 QPS</w:t>
      </w:r>
    </w:p>
    <w:p>
      <w:pPr>
        <w:pStyle w:val="Heading2"/>
      </w:pPr>
      <w:r>
        <w:t>1.2 数据范围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v22.7.3、MySQL 8.0.32、OceanBase 4.2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点查、只读、混合读写、写入、索引更新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90 条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test-resource/mock_records_aggregation.json</w:t>
            </w:r>
          </w:p>
        </w:tc>
      </w:tr>
    </w:tbl>
    <w:p/>
    <w:p>
      <w:pPr>
        <w:pStyle w:val="Heading1"/>
      </w:pPr>
      <w:r>
        <w:t>第 2 章 深度分析</w:t>
      </w:r>
    </w:p>
    <w:p>
      <w:pPr>
        <w:pStyle w:val="Heading2"/>
      </w:pPr>
      <w:r>
        <w:t>2.1 高并发 分桶分析</w:t>
      </w:r>
    </w:p>
    <w:p>
      <w:r>
        <w:t>按 高并发 分桶后，各桶平均性能如下：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P95 (ms)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高并发 (≥256)</w:t>
            </w:r>
          </w:p>
        </w:tc>
        <w:tc>
          <w:tcPr>
            <w:tcW w:type="dxa" w:w="2160"/>
          </w:tcPr>
          <w:p>
            <w:r>
              <w:t>44,619</w:t>
            </w:r>
          </w:p>
        </w:tc>
        <w:tc>
          <w:tcPr>
            <w:tcW w:type="dxa" w:w="2160"/>
          </w:tcPr>
          <w:p>
            <w:r>
              <w:t>146.93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中低并发 (&lt;256)</w:t>
            </w:r>
          </w:p>
        </w:tc>
        <w:tc>
          <w:tcPr>
            <w:tcW w:type="dxa" w:w="2160"/>
          </w:tcPr>
          <w:p>
            <w:r>
              <w:t>20,605</w:t>
            </w:r>
          </w:p>
        </w:tc>
        <w:tc>
          <w:tcPr>
            <w:tcW w:type="dxa" w:w="2160"/>
          </w:tcPr>
          <w:p>
            <w:r>
              <w:t>26.67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2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高并发 维度与平均 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4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高并发 QPS vs P95 对比</w:t>
      </w:r>
    </w:p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r>
        <w:rPr>
          <w:i/>
          <w:color w:val="FF7F0E"/>
        </w:rPr>
        <w:t>[L2] 高并发段平均 QPS=44,619，中低并发段平均 QPS=20,605</w:t>
      </w:r>
    </w:p>
    <w:p>
      <w:pPr>
        <w:pStyle w:val="Heading1"/>
      </w:pPr>
      <w:r>
        <w:t>第 3 章 结论与建议</w:t>
      </w:r>
    </w:p>
    <w:p>
      <w:pPr>
        <w:pStyle w:val="Heading2"/>
      </w:pPr>
      <w:r>
        <w:t>3.1 核心发现</w:t>
      </w:r>
    </w:p>
    <w:p>
      <w:r>
        <w:rPr>
          <w:i/>
          <w:color w:val="FF7F0E"/>
        </w:rPr>
        <w:t>[L2] 高并发段平均 QPS=44,619，中低并发段平均 QPS=20,605</w:t>
      </w:r>
    </w:p>
    <w:p>
      <w:pPr>
        <w:pStyle w:val="Heading2"/>
      </w:pPr>
      <w:r>
        <w:t>3.2 建议与后续</w:t>
      </w:r>
    </w:p>
    <w:p>
      <w:pPr>
        <w:pStyle w:val="ListBullet"/>
      </w:pPr>
      <w:r>
        <w:t>本报告聚焦 高并发 维度，建议结合实际业务场景做进一步验证。</w:t>
      </w:r>
    </w:p>
    <w:p>
      <w:pPr>
        <w:pStyle w:val="ListBullet"/>
      </w:pPr>
      <w:r>
        <w:t>如需扩展分析维度，可在门控①阶段补充需求。</w:t>
      </w:r>
    </w:p>
    <w:p>
      <w:pPr>
        <w:pStyle w:val="ListBullet"/>
      </w:pPr>
      <w:r>
        <w:t>数据可能存在采集条件差异，请在结论中标注不确定性。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