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RPAコース体系</w:t>
      </w:r>
      <w:bookmarkStart w:id="0" w:name="_GoBack"/>
      <w:bookmarkEnd w:id="0"/>
      <w:r>
        <w:rPr>
          <w:rFonts w:hint="eastAsia" w:ascii="游ゴシック" w:hAnsi="游ゴシック" w:eastAsia="游ゴシック" w:cs="游ゴシック"/>
        </w:rPr>
        <w:t xml:space="preserve"> 企画提案書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1. コース体系概要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本コース体系は、以下の4つのレベルで構成されています。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1. 入門コース：RPAの基本操作を習得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2. 初級コース：RPAの基礎知識と応用スキルを習得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3. 中級コース：より複雑な業務プロセスの自動化スキルを習得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4. 上級コース：エンタープライズレベルのRPAプロジェクトを推進できるスキルを習得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2. 各コース詳細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2.1. 1. 入門コース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RPAの基本操作を習得し、RPA開発の第一歩を踏み出します。</w:t>
      </w:r>
    </w:p>
    <w:tbl>
      <w:tblPr>
        <w:tblStyle w:val="5"/>
        <w:tblW w:w="9510" w:type="dxa"/>
        <w:jc w:val="center"/>
        <w:tblCellSpacing w:w="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項目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アクティビティ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ブラウザ操作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デモ画面を開く、ボタンをクリック、文字を入力、項目を選択、テキストを取得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条件分岐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ファイルが存在しなければURLからダウンロード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Excel操作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範囲を読み込み、セルに書き込み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繰り返し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繰り返し各行</w:t>
            </w:r>
          </w:p>
        </w:tc>
      </w:tr>
    </w:tbl>
    <w:p>
      <w:pPr>
        <w:bidi w:val="0"/>
        <w:rPr>
          <w:rFonts w:hint="eastAsia" w:ascii="游ゴシック" w:hAnsi="游ゴシック" w:eastAsia="游ゴシック" w:cs="游ゴシック"/>
        </w:rPr>
      </w:pP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2.2. 2. 初級コース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RPAの基礎知識と応用スキルを習得し、簡単な業務の自動化を実現します。</w:t>
      </w:r>
    </w:p>
    <w:tbl>
      <w:tblPr>
        <w:tblStyle w:val="5"/>
        <w:tblW w:w="9510" w:type="dxa"/>
        <w:jc w:val="center"/>
        <w:tblCellSpacing w:w="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項目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アクティビティ内容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変数とデータ型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変数作成・型指定、配列/リスト利用、変数スコープ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Web操作応用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動的セレクター利用、要素待機、複雑な入力フォーム自動化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Excel操作応用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複数シート操作、データテーブル活用、Excel関数実行、データテーブル抽出/絞込、マクロ実行（引数なし/あり）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データ加工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文字列処理（分割/結合/置換）、日付/時刻データ扱い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条件分岐応用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複雑なIf/Switch文活用</w:t>
            </w:r>
          </w:p>
        </w:tc>
      </w:tr>
    </w:tbl>
    <w:p>
      <w:pPr>
        <w:bidi w:val="0"/>
        <w:rPr>
          <w:rFonts w:hint="eastAsia" w:ascii="游ゴシック" w:hAnsi="游ゴシック" w:eastAsia="游ゴシック" w:cs="游ゴシック"/>
        </w:rPr>
      </w:pP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2.3. 3. 中級コース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より複雑な業務プロセスの自動化スキルを習得し、RPA適用範囲を拡大します。</w:t>
      </w:r>
    </w:p>
    <w:tbl>
      <w:tblPr>
        <w:tblStyle w:val="5"/>
        <w:tblW w:w="9510" w:type="dxa"/>
        <w:jc w:val="center"/>
        <w:tblCellSpacing w:w="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項目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アクティビティ内容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例外処理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Try-Catchによるエラー制御、カスタム例外作成、エラーログ出力、基本的なエラー処理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モジュール化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ワークフロー分割/再利用、引数設定/受渡、Configファイル利用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ファイル操作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ファイル/フォルダ一括処理、PDF読込/保存、SharePoint OnlineファイルDL/UL</w:t>
            </w:r>
          </w:p>
        </w:tc>
      </w:tr>
    </w:tbl>
    <w:p>
      <w:pPr>
        <w:bidi w:val="0"/>
        <w:rPr>
          <w:rFonts w:hint="eastAsia" w:ascii="游ゴシック" w:hAnsi="游ゴシック" w:eastAsia="游ゴシック" w:cs="游ゴシック"/>
        </w:rPr>
      </w:pP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2.4. 4. 上級コース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エンタープライズレベルのRPAプロジェクトを推進できるスキルを習得し、RPA導入効果を最大化します。</w:t>
      </w:r>
    </w:p>
    <w:tbl>
      <w:tblPr>
        <w:tblStyle w:val="5"/>
        <w:tblW w:w="9510" w:type="dxa"/>
        <w:jc w:val="center"/>
        <w:tblCellSpacing w:w="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4755"/>
        <w:gridCol w:w="47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項目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アクティビティ内容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API連携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REST API呼出、外部サービス認証処理、JSONデータ解析/生成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セキュリティ対策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認証情報安全管理、アクセス権限設計、監査ログ実装、資格情報アセットの利用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4755" w:type="dxa"/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Copilot連携</w:t>
            </w:r>
          </w:p>
        </w:tc>
        <w:tc>
          <w:tcPr>
            <w:tcW w:w="4755" w:type="dxa"/>
            <w:tcBorders>
              <w:top w:val="single" w:color="000000" w:sz="0" w:space="0"/>
              <w:bottom w:val="single" w:color="000000" w:sz="0" w:space="0"/>
            </w:tcBorders>
          </w:tcPr>
          <w:p>
            <w:pPr>
              <w:bidi w:val="0"/>
              <w:rPr>
                <w:rFonts w:hint="eastAsia" w:ascii="游ゴシック" w:hAnsi="游ゴシック" w:eastAsia="游ゴシック" w:cs="游ゴシック"/>
              </w:rPr>
            </w:pPr>
            <w:r>
              <w:rPr>
                <w:rFonts w:hint="eastAsia" w:ascii="游ゴシック" w:hAnsi="游ゴシック" w:eastAsia="游ゴシック" w:cs="游ゴシック"/>
              </w:rPr>
              <w:t>Copilot API連携、自然言語RPA制御、AIによる自動化</w:t>
            </w:r>
          </w:p>
        </w:tc>
      </w:tr>
    </w:tbl>
    <w:p>
      <w:pPr>
        <w:bidi w:val="0"/>
        <w:rPr>
          <w:rFonts w:hint="eastAsia" w:ascii="游ゴシック" w:hAnsi="游ゴシック" w:eastAsia="游ゴシック" w:cs="游ゴシック"/>
        </w:rPr>
      </w:pP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3. コース受講後の効果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RPA開発スキルの向上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業務効率化の促進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コスト削減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従業員の生産性向上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企業競争力強化</w:t>
      </w:r>
    </w:p>
    <w:p>
      <w:pPr>
        <w:bidi w:val="0"/>
        <w:rPr>
          <w:rFonts w:hint="eastAsia" w:ascii="游ゴシック" w:hAnsi="游ゴシック" w:eastAsia="游ゴシック" w:cs="游ゴシック"/>
        </w:rPr>
      </w:pPr>
      <w:r>
        <w:rPr>
          <w:rFonts w:hint="eastAsia" w:ascii="游ゴシック" w:hAnsi="游ゴシック" w:eastAsia="游ゴシック" w:cs="游ゴシック"/>
        </w:rPr>
        <w:t>⁂</w:t>
      </w:r>
    </w:p>
    <w:sectPr>
      <w:pgSz w:w="12240" w:h="15840"/>
      <w:pgMar w:top="1365" w:right="1365" w:bottom="1365" w:left="1365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3D40995"/>
    <w:rsid w:val="4CED3BA8"/>
    <w:rsid w:val="71C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ja-JP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  <w:style w:type="table" w:customStyle="1" w:styleId="5">
    <w:name w:val="Normal Grid"/>
    <w:basedOn w:val="3"/>
    <w:uiPriority w:val="39"/>
    <w:pPr>
      <w:spacing w:after="0" w:line="240" w:lineRule="auto"/>
    </w:pPr>
    <w:tblPr>
      <w:tblLayout w:type="fixed"/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Office_11.8.2.8498_F1E327BC-269C-435d-A152-05C5408002CA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2025-04-23T19:20:00Z</dcterms:created>
  <dc:creator>html-to-docx</dc:creator>
  <cp:keywords>html-to-docx</cp:keywords>
  <cp:lastModifiedBy>hamazaki</cp:lastModifiedBy>
  <dcterms:modified xsi:type="dcterms:W3CDTF">2025-04-26T08:45:52Z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