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CAF14">
      <w:pPr>
        <w:jc w:val="center"/>
        <w:rPr>
          <w:rFonts w:hint="eastAsia" w:ascii="宋体" w:hAnsi="宋体" w:eastAsia="宋体" w:cs="宋体"/>
        </w:rPr>
      </w:pPr>
      <w:r>
        <w:rPr>
          <w:rFonts w:hint="eastAsia" w:cs="宋体"/>
          <w:b/>
          <w:color w:val="1F4E79"/>
          <w:sz w:val="44"/>
          <w:lang w:val="en-US" w:eastAsia="zh-CN"/>
        </w:rPr>
        <w:t xml:space="preserve">  </w:t>
      </w:r>
      <w:r>
        <w:rPr>
          <w:rFonts w:hint="eastAsia" w:ascii="宋体" w:hAnsi="宋体" w:eastAsia="宋体" w:cs="宋体"/>
          <w:b/>
          <w:color w:val="1F4E79"/>
          <w:sz w:val="44"/>
        </w:rPr>
        <w:t>模型各模块</w:t>
      </w:r>
      <w:bookmarkStart w:id="0" w:name="_GoBack"/>
      <w:bookmarkEnd w:id="0"/>
      <w:r>
        <w:rPr>
          <w:rFonts w:hint="eastAsia" w:ascii="宋体" w:hAnsi="宋体" w:eastAsia="宋体" w:cs="宋体"/>
          <w:b/>
          <w:color w:val="1F4E79"/>
          <w:sz w:val="44"/>
        </w:rPr>
        <w:t>说明</w:t>
      </w:r>
    </w:p>
    <w:p w14:paraId="551D8D1D">
      <w:pPr>
        <w:rPr>
          <w:rFonts w:hint="eastAsia" w:ascii="宋体" w:hAnsi="宋体" w:eastAsia="宋体" w:cs="宋体"/>
        </w:rPr>
      </w:pPr>
    </w:p>
    <w:p w14:paraId="5645B37F">
      <w:pPr>
        <w:jc w:val="center"/>
        <w:rPr>
          <w:rFonts w:hint="eastAsia" w:ascii="宋体" w:hAnsi="宋体" w:eastAsia="宋体" w:cs="宋体"/>
        </w:rPr>
      </w:pPr>
      <w:r>
        <w:rPr>
          <w:rFonts w:hint="eastAsia" w:ascii="宋体" w:hAnsi="宋体" w:eastAsia="宋体" w:cs="宋体"/>
        </w:rPr>
        <w:drawing>
          <wp:inline distT="0" distB="0" distL="114300" distR="114300">
            <wp:extent cx="6583680" cy="37052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583680" cy="3705289"/>
                    </a:xfrm>
                    <a:prstGeom prst="rect">
                      <a:avLst/>
                    </a:prstGeom>
                  </pic:spPr>
                </pic:pic>
              </a:graphicData>
            </a:graphic>
          </wp:inline>
        </w:drawing>
      </w:r>
    </w:p>
    <w:p w14:paraId="0D6F35FE">
      <w:pPr>
        <w:jc w:val="center"/>
        <w:rPr>
          <w:rFonts w:hint="eastAsia" w:ascii="宋体" w:hAnsi="宋体" w:eastAsia="宋体" w:cs="宋体"/>
          <w:sz w:val="24"/>
          <w:szCs w:val="24"/>
        </w:rPr>
      </w:pPr>
      <w:r>
        <w:t>图 1  E4-D2 网络结构示意图（D2 最终采用 G3：D_a=log(1+|Δ|) 的 Da-only 判决）</w:t>
      </w:r>
    </w:p>
    <w:p w14:paraId="2A970354">
      <w:pPr>
        <w:pStyle w:val="3"/>
        <w:rPr>
          <w:rFonts w:hint="eastAsia" w:ascii="宋体" w:hAnsi="宋体" w:eastAsia="宋体" w:cs="宋体"/>
          <w:sz w:val="24"/>
          <w:szCs w:val="24"/>
        </w:rPr>
      </w:pPr>
      <w:r>
        <w:rPr>
          <w:rFonts w:hint="eastAsia" w:ascii="宋体" w:hAnsi="宋体" w:eastAsia="宋体" w:cs="宋体"/>
          <w:sz w:val="24"/>
          <w:szCs w:val="24"/>
        </w:rPr>
        <w:t>1. 总体设计思想</w:t>
      </w:r>
    </w:p>
    <w:p w14:paraId="4C4373D9">
      <w:pPr>
        <w:spacing w:line="276" w:lineRule="auto"/>
        <w:ind w:firstLine="317"/>
        <w:rPr>
          <w:rFonts w:hint="eastAsia" w:ascii="宋体" w:hAnsi="宋体" w:eastAsia="宋体" w:cs="宋体"/>
          <w:sz w:val="24"/>
          <w:szCs w:val="24"/>
        </w:rPr>
      </w:pPr>
      <w:r>
        <w:t>模型的核心思想可以概括为：前半部分用 E4 把“幅度–相位物理结构”融合成有效目标特征，后半部分用 D2 模拟 CFAR 的局部参考窗思想，先估计多尺度邻域杂波背景，再以当前检测单元 CUT 相对于局部背景的通道级对数压缩绝对异常强度 D_a 进行最终判决，从而提升低 SCR 弱目标检测能力。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3834"/>
        <w:gridCol w:w="4375"/>
      </w:tblGrid>
      <w:tr w14:paraId="1A27E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0828DF0C">
            <w:pPr>
              <w:spacing w:after="0" w:line="240" w:lineRule="auto"/>
              <w:jc w:val="center"/>
              <w:rPr>
                <w:rFonts w:hint="eastAsia" w:ascii="宋体" w:hAnsi="宋体" w:eastAsia="宋体" w:cs="宋体"/>
                <w:sz w:val="24"/>
                <w:szCs w:val="24"/>
              </w:rPr>
            </w:pPr>
            <w:r>
              <w:rPr>
                <w:rFonts w:hint="eastAsia" w:ascii="Arial" w:hAnsi="Arial" w:eastAsia="Microsoft YaHei" w:cs="宋体"/>
                <w:b/>
                <w:color w:val="1F4E79"/>
                <w:sz w:val="18"/>
                <w:szCs w:val="24"/>
              </w:rPr>
              <w:t>部分</w:t>
            </w:r>
          </w:p>
        </w:tc>
        <w:tc>
          <w:tcPr>
            <w:tcW w:w="4032" w:type="dxa"/>
            <w:shd w:val="clear" w:color="auto" w:fill="D9EAF7"/>
            <w:vAlign w:val="center"/>
          </w:tcPr>
          <w:p w14:paraId="582F89A0">
            <w:pPr>
              <w:spacing w:after="0" w:line="240" w:lineRule="auto"/>
              <w:jc w:val="center"/>
              <w:rPr>
                <w:rFonts w:hint="eastAsia" w:ascii="宋体" w:hAnsi="宋体" w:eastAsia="宋体" w:cs="宋体"/>
                <w:sz w:val="24"/>
                <w:szCs w:val="24"/>
              </w:rPr>
            </w:pPr>
            <w:r>
              <w:rPr>
                <w:rFonts w:hint="eastAsia" w:ascii="Arial" w:hAnsi="Arial" w:eastAsia="Microsoft YaHei" w:cs="宋体"/>
                <w:b/>
                <w:color w:val="1F4E79"/>
                <w:sz w:val="18"/>
                <w:szCs w:val="24"/>
              </w:rPr>
              <w:t>借鉴思想</w:t>
            </w:r>
          </w:p>
        </w:tc>
        <w:tc>
          <w:tcPr>
            <w:tcW w:w="4608" w:type="dxa"/>
            <w:shd w:val="clear" w:color="auto" w:fill="D9EAF7"/>
            <w:vAlign w:val="center"/>
          </w:tcPr>
          <w:p w14:paraId="54969A31">
            <w:pPr>
              <w:spacing w:after="0" w:line="240" w:lineRule="auto"/>
              <w:jc w:val="center"/>
              <w:rPr>
                <w:rFonts w:hint="eastAsia" w:ascii="宋体" w:hAnsi="宋体" w:eastAsia="宋体" w:cs="宋体"/>
                <w:sz w:val="24"/>
                <w:szCs w:val="24"/>
              </w:rPr>
            </w:pPr>
            <w:r>
              <w:rPr>
                <w:rFonts w:hint="eastAsia" w:ascii="Arial" w:hAnsi="Arial" w:eastAsia="Microsoft YaHei" w:cs="宋体"/>
                <w:b/>
                <w:color w:val="1F4E79"/>
                <w:sz w:val="18"/>
                <w:szCs w:val="24"/>
              </w:rPr>
              <w:t>解决问题</w:t>
            </w:r>
          </w:p>
        </w:tc>
      </w:tr>
      <w:tr w14:paraId="54D8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3272E6E">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E4 full CVOCA</w:t>
            </w:r>
          </w:p>
        </w:tc>
        <w:tc>
          <w:tcPr>
            <w:tcW w:w="4032" w:type="dxa"/>
            <w:vAlign w:val="center"/>
          </w:tcPr>
          <w:p w14:paraId="4735BDA1">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雷达复回波的幅相表达 X = A e^{jθ}</w:t>
            </w:r>
          </w:p>
        </w:tc>
        <w:tc>
          <w:tcPr>
            <w:tcW w:w="4608" w:type="dxa"/>
            <w:vAlign w:val="center"/>
          </w:tcPr>
          <w:p w14:paraId="4B8A4972">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幅度不能直接拼接，必须调制相位方向</w:t>
            </w:r>
          </w:p>
        </w:tc>
      </w:tr>
      <w:tr w14:paraId="0994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C9B733C">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D2 Local-CFAR-like</w:t>
            </w:r>
          </w:p>
        </w:tc>
        <w:tc>
          <w:tcPr>
            <w:tcW w:w="4032" w:type="dxa"/>
            <w:vAlign w:val="center"/>
          </w:tcPr>
          <w:p>
            <w:pPr>
              <w:jc w:val="center"/>
            </w:pPr>
            <w:r>
              <w:rPr>
                <w:rFonts w:ascii="Arial" w:hAnsi="Arial" w:eastAsia="Microsoft YaHei"/>
                <w:b w:val="0"/>
                <w:sz w:val="18"/>
              </w:rPr>
              <w:t>CFAR 中参考单元估计局部背景；比较 CUT 与背景的相对异常</w:t>
            </w:r>
          </w:p>
        </w:tc>
        <w:tc>
          <w:tcPr>
            <w:tcW w:w="4608" w:type="dxa"/>
            <w:vAlign w:val="center"/>
          </w:tcPr>
          <w:p>
            <w:pPr>
              <w:jc w:val="center"/>
            </w:pPr>
            <w:r>
              <w:rPr>
                <w:rFonts w:ascii="Arial" w:hAnsi="Arial" w:eastAsia="Microsoft YaHei"/>
                <w:b w:val="0"/>
                <w:sz w:val="18"/>
              </w:rPr>
              <w:t>同时利用当前单元 F_d 与邻域背景 H_ms，最终仅以 D_a 作为判决表示</w:t>
            </w:r>
          </w:p>
        </w:tc>
      </w:tr>
    </w:tbl>
    <w:p w14:paraId="35455BED">
      <w:pPr>
        <w:rPr>
          <w:rFonts w:hint="eastAsia" w:ascii="宋体" w:hAnsi="宋体" w:eastAsia="宋体" w:cs="宋体"/>
          <w:sz w:val="24"/>
          <w:szCs w:val="24"/>
        </w:rPr>
      </w:pPr>
    </w:p>
    <w:p w14:paraId="29048533">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相比传统 ST-GNN 主要依赖原始 I/Q 的隐式学习，E4-D2 显式引入了 PL/RPH 物理通道、相位稳定性特征、幅度调制特征、Global 样本级统计特征以及多尺度局部卷积检测头。</w:t>
      </w:r>
    </w:p>
    <w:p w14:paraId="37D679F1">
      <w:pPr>
        <w:pStyle w:val="3"/>
        <w:rPr>
          <w:rFonts w:hint="eastAsia" w:ascii="宋体" w:hAnsi="宋体" w:eastAsia="宋体" w:cs="宋体"/>
          <w:sz w:val="24"/>
          <w:szCs w:val="24"/>
        </w:rPr>
      </w:pPr>
      <w:r>
        <w:rPr>
          <w:rFonts w:hint="eastAsia" w:ascii="宋体" w:hAnsi="宋体" w:eastAsia="宋体" w:cs="宋体"/>
          <w:sz w:val="24"/>
          <w:szCs w:val="24"/>
        </w:rPr>
        <w:t>2. 整体输入与输出</w:t>
      </w:r>
    </w:p>
    <w:p w14:paraId="15E36793">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E4-D2 包含四路输入，分别对应主干时空特征、相位相干特征、幅度调制特征和全局背景统计特征。</w:t>
      </w:r>
    </w:p>
    <w:p w14:paraId="2D92D352">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A. [I/P99, Q/P99, PL_raw, RPH/P99] → ST-GNN → 1024ch</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B. [temporal_mean, temporal_std, phase_stability] → PhaseEncoder → 128ch</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C. [amp_map, amp_cell] → AmpEncoder → 64ch</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D. [global_6ch] → Global MLP → 128ch broadcast</w:t>
      </w:r>
    </w:p>
    <w:p w14:paraId="5044AEA4">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四路特征中的主干输出、幅相融合输出和全局广播特征最终拼接为 1216 通道特征：</w:t>
      </w:r>
    </w:p>
    <w:p w14:paraId="0934929A">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concat([F_main, F_AP, G_broadcast])</w:t>
      </w:r>
      <w:r>
        <w:rPr>
          <w:rFonts w:hint="eastAsia" w:ascii="宋体" w:hAnsi="宋体" w:eastAsia="宋体" w:cs="宋体"/>
          <w:sz w:val="24"/>
          <w:szCs w:val="24"/>
        </w:rPr>
        <w:br w:type="textWrapping"/>
      </w:r>
      <w:r>
        <w:rPr>
          <w:rFonts w:hint="eastAsia" w:ascii="宋体" w:hAnsi="宋体" w:eastAsia="宋体" w:cs="宋体"/>
          <w:sz w:val="24"/>
          <w:szCs w:val="24"/>
        </w:rPr>
        <w:t>= concat([1024ch, 64ch, 128ch])</w:t>
      </w:r>
      <w:r>
        <w:rPr>
          <w:rFonts w:hint="eastAsia" w:ascii="宋体" w:hAnsi="宋体" w:eastAsia="宋体" w:cs="宋体"/>
          <w:sz w:val="24"/>
          <w:szCs w:val="24"/>
        </w:rPr>
        <w:br w:type="textWrapping"/>
      </w:r>
      <w:r>
        <w:rPr>
          <w:rFonts w:hint="eastAsia" w:ascii="宋体" w:hAnsi="宋体" w:eastAsia="宋体" w:cs="宋体"/>
          <w:sz w:val="24"/>
          <w:szCs w:val="24"/>
        </w:rPr>
        <w:t>= 1216ch</w:t>
      </w:r>
    </w:p>
    <w:p w14:paraId="575B4713">
      <w:pPr>
        <w:spacing w:line="276" w:lineRule="auto"/>
        <w:ind w:firstLine="317"/>
        <w:rPr>
          <w:rFonts w:hint="eastAsia" w:ascii="宋体" w:hAnsi="宋体" w:eastAsia="宋体" w:cs="宋体"/>
          <w:sz w:val="24"/>
          <w:szCs w:val="24"/>
        </w:rPr>
      </w:pPr>
      <w:r>
        <w:t>随后进入 D2 Da-only Local-CFAR-like 对数绝对差异判决头：</w:t>
      </w:r>
    </w:p>
    <w:p w14:paraId="7562FDEA">
      <w:pPr>
        <w:pStyle w:val="164"/>
        <w:shd w:val="clear" w:fill="F2F2F2"/>
        <w:spacing w:before="60" w:after="120"/>
        <w:ind w:left="259" w:right="72"/>
        <w:rPr>
          <w:rFonts w:hint="eastAsia" w:ascii="宋体" w:hAnsi="宋体" w:eastAsia="宋体" w:cs="宋体"/>
          <w:sz w:val="24"/>
          <w:szCs w:val="24"/>
        </w:rPr>
      </w:pPr>
      <w:r>
        <w:t>F → Conv1d(1216 → 256, k=1) → F_d</w:t>
        <w:br/>
        <w:t>并行多尺度局部背景建模：</w:t>
        <w:br/>
        <w:t xml:space="preserve">  Branch1: Depthwise Conv1d(k=3, groups=256)</w:t>
        <w:br/>
        <w:t xml:space="preserve">  Branch2: Depthwise Conv1d(k=7, groups=256)</w:t>
        <w:br/>
        <w:t xml:space="preserve">  Branch3: Depthwise Conv1d(k=15, groups=256)</w:t>
        <w:br/>
        <w:t>concat → 768ch → Conv1d(768 → 512) → GELU → H_ms</w:t>
        <w:br/>
        <w:t>U_d = GroupNorm_8(Conv1d(F_d, 256 → 128, k=1))</w:t>
        <w:br/>
        <w:t>U_h = GroupNorm_8(Conv1d(H_ms, 512 → 128, k=1))</w:t>
        <w:br/>
        <w:t>Δ = U_d - U_h</w:t>
        <w:br/>
        <w:t>D_a = log(1 + |Δ|)</w:t>
        <w:br/>
        <w:t>D_a → Conv1d(128 → 128, k=1) → GELU → Dropout(0.1) → Conv1d(128 → 2, k=1)</w:t>
      </w:r>
    </w:p>
    <w:p w14:paraId="3BB4DCED">
      <w:pPr>
        <w:spacing w:line="276" w:lineRule="auto"/>
        <w:ind w:firstLine="317"/>
        <w:rPr>
          <w:rFonts w:hint="eastAsia" w:ascii="宋体" w:hAnsi="宋体" w:eastAsia="宋体" w:cs="宋体"/>
          <w:sz w:val="24"/>
          <w:szCs w:val="24"/>
        </w:rPr>
      </w:pPr>
      <w:r>
        <w:t>最终输出为 [B, 2, R]，其中 R 表示距离单元数量，2 表示 clutter 和 target 两类 logits。最终分类器只接收 D_a，不再显式使用方向分量 D_s。</w:t>
      </w:r>
    </w:p>
    <w:p w14:paraId="6415A51B">
      <w:pPr>
        <w:pStyle w:val="3"/>
        <w:rPr>
          <w:rFonts w:hint="eastAsia" w:ascii="宋体" w:hAnsi="宋体" w:eastAsia="宋体" w:cs="宋体"/>
          <w:sz w:val="24"/>
          <w:szCs w:val="24"/>
        </w:rPr>
      </w:pPr>
      <w:r>
        <w:rPr>
          <w:rFonts w:hint="eastAsia" w:ascii="宋体" w:hAnsi="宋体" w:eastAsia="宋体" w:cs="宋体"/>
          <w:sz w:val="24"/>
          <w:szCs w:val="24"/>
        </w:rPr>
        <w:t>3. 模块 A：ST-GNN 主干分支</w:t>
      </w:r>
    </w:p>
    <w:p w14:paraId="7D6737FA">
      <w:pPr>
        <w:pStyle w:val="4"/>
        <w:rPr>
          <w:rFonts w:hint="eastAsia" w:ascii="宋体" w:hAnsi="宋体" w:eastAsia="宋体" w:cs="宋体"/>
          <w:sz w:val="24"/>
          <w:szCs w:val="24"/>
        </w:rPr>
      </w:pPr>
      <w:r>
        <w:rPr>
          <w:rFonts w:hint="eastAsia" w:ascii="宋体" w:hAnsi="宋体" w:eastAsia="宋体" w:cs="宋体"/>
          <w:sz w:val="24"/>
          <w:szCs w:val="24"/>
        </w:rPr>
        <w:t>3.1 输入与设计思想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5"/>
        <w:gridCol w:w="3828"/>
        <w:gridCol w:w="4643"/>
      </w:tblGrid>
      <w:tr w14:paraId="3C7B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9EAF7"/>
            <w:vAlign w:val="center"/>
          </w:tcPr>
          <w:p w14:paraId="7877643A">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通道</w:t>
            </w:r>
          </w:p>
        </w:tc>
        <w:tc>
          <w:tcPr>
            <w:tcW w:w="4032" w:type="dxa"/>
            <w:shd w:val="clear" w:color="auto" w:fill="D9EAF7"/>
            <w:vAlign w:val="center"/>
          </w:tcPr>
          <w:p w14:paraId="0E07B856">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含义</w:t>
            </w:r>
          </w:p>
        </w:tc>
        <w:tc>
          <w:tcPr>
            <w:tcW w:w="4896" w:type="dxa"/>
            <w:shd w:val="clear" w:color="auto" w:fill="D9EAF7"/>
            <w:vAlign w:val="center"/>
          </w:tcPr>
          <w:p w14:paraId="264ABB09">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作用</w:t>
            </w:r>
          </w:p>
        </w:tc>
      </w:tr>
      <w:tr w14:paraId="4793C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E6DD29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I/P99</w:t>
            </w:r>
          </w:p>
        </w:tc>
        <w:tc>
          <w:tcPr>
            <w:tcW w:w="4032" w:type="dxa"/>
            <w:vAlign w:val="center"/>
          </w:tcPr>
          <w:p w14:paraId="6860DEA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同相分量归一化</w:t>
            </w:r>
          </w:p>
        </w:tc>
        <w:tc>
          <w:tcPr>
            <w:tcW w:w="4896" w:type="dxa"/>
            <w:vAlign w:val="center"/>
          </w:tcPr>
          <w:p w14:paraId="65BB1D7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保留复回波实部信息</w:t>
            </w:r>
          </w:p>
        </w:tc>
      </w:tr>
      <w:tr w14:paraId="2D605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5C8174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Q/P99</w:t>
            </w:r>
          </w:p>
        </w:tc>
        <w:tc>
          <w:tcPr>
            <w:tcW w:w="4032" w:type="dxa"/>
            <w:vAlign w:val="center"/>
          </w:tcPr>
          <w:p w14:paraId="6884382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正交分量归一化</w:t>
            </w:r>
          </w:p>
        </w:tc>
        <w:tc>
          <w:tcPr>
            <w:tcW w:w="4896" w:type="dxa"/>
            <w:vAlign w:val="center"/>
          </w:tcPr>
          <w:p w14:paraId="1573508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保留复回波虚部信息</w:t>
            </w:r>
          </w:p>
        </w:tc>
      </w:tr>
      <w:tr w14:paraId="2280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4F91B0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PL_raw</w:t>
            </w:r>
          </w:p>
        </w:tc>
        <w:tc>
          <w:tcPr>
            <w:tcW w:w="4032" w:type="dxa"/>
            <w:vAlign w:val="center"/>
          </w:tcPr>
          <w:p w14:paraId="2823072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相位线性度/相位相关物理特征</w:t>
            </w:r>
          </w:p>
        </w:tc>
        <w:tc>
          <w:tcPr>
            <w:tcW w:w="4896" w:type="dxa"/>
            <w:vAlign w:val="center"/>
          </w:tcPr>
          <w:p w14:paraId="75D8E6E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辅助刻画目标相位规律</w:t>
            </w:r>
          </w:p>
        </w:tc>
      </w:tr>
      <w:tr w14:paraId="40F6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030AD1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RPH/P99</w:t>
            </w:r>
          </w:p>
        </w:tc>
        <w:tc>
          <w:tcPr>
            <w:tcW w:w="4032" w:type="dxa"/>
            <w:vAlign w:val="center"/>
          </w:tcPr>
          <w:p w14:paraId="3D88193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幅相相关物理特征</w:t>
            </w:r>
          </w:p>
        </w:tc>
        <w:tc>
          <w:tcPr>
            <w:tcW w:w="4896" w:type="dxa"/>
            <w:vAlign w:val="center"/>
          </w:tcPr>
          <w:p w14:paraId="166FEA6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增强相位–幅度结构表达</w:t>
            </w:r>
          </w:p>
        </w:tc>
      </w:tr>
    </w:tbl>
    <w:p w14:paraId="6C68F16D">
      <w:pPr>
        <w:rPr>
          <w:rFonts w:hint="eastAsia" w:ascii="宋体" w:hAnsi="宋体" w:eastAsia="宋体" w:cs="宋体"/>
          <w:sz w:val="24"/>
          <w:szCs w:val="24"/>
        </w:rPr>
      </w:pPr>
    </w:p>
    <w:p w14:paraId="5D5ADA77">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原始 I/Q 是雷达复回波的基础信息，但在低 SCR 下目标非常弱，仅靠 I/Q 让网络自己学习目标结构比较困难。因此，E4-D2 在主干输入中加入 PL/RPH，使 ST-GNN 一开始就能看到更强的物理提示。</w:t>
      </w:r>
    </w:p>
    <w:p w14:paraId="1E264C5A">
      <w:pPr>
        <w:pStyle w:val="4"/>
        <w:rPr>
          <w:rFonts w:hint="eastAsia" w:ascii="宋体" w:hAnsi="宋体" w:eastAsia="宋体" w:cs="宋体"/>
          <w:sz w:val="24"/>
          <w:szCs w:val="24"/>
        </w:rPr>
      </w:pPr>
      <w:r>
        <w:rPr>
          <w:rFonts w:hint="eastAsia" w:ascii="宋体" w:hAnsi="宋体" w:eastAsia="宋体" w:cs="宋体"/>
          <w:sz w:val="24"/>
          <w:szCs w:val="24"/>
        </w:rPr>
        <w:t>3.2 数据流与作用</w:t>
      </w:r>
    </w:p>
    <w:p w14:paraId="617A5F5C">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Input A: [B, 4, P, R]</w:t>
      </w:r>
      <w:r>
        <w:rPr>
          <w:rFonts w:hint="eastAsia" w:ascii="宋体" w:hAnsi="宋体" w:eastAsia="宋体" w:cs="宋体"/>
          <w:sz w:val="24"/>
          <w:szCs w:val="24"/>
        </w:rPr>
        <w:br w:type="textWrapping"/>
      </w:r>
      <w:r>
        <w:rPr>
          <w:rFonts w:hint="eastAsia" w:ascii="宋体" w:hAnsi="宋体" w:eastAsia="宋体" w:cs="宋体"/>
          <w:sz w:val="24"/>
          <w:szCs w:val="24"/>
        </w:rPr>
        <w:t xml:space="preserve">        ↓</w:t>
      </w:r>
      <w:r>
        <w:rPr>
          <w:rFonts w:hint="eastAsia" w:ascii="宋体" w:hAnsi="宋体" w:eastAsia="宋体" w:cs="宋体"/>
          <w:sz w:val="24"/>
          <w:szCs w:val="24"/>
        </w:rPr>
        <w:br w:type="textWrapping"/>
      </w:r>
      <w:r>
        <w:rPr>
          <w:rFonts w:hint="eastAsia" w:ascii="宋体" w:hAnsi="宋体" w:eastAsia="宋体" w:cs="宋体"/>
          <w:sz w:val="24"/>
          <w:szCs w:val="24"/>
        </w:rPr>
        <w:t>ST-GNN Backbone</w:t>
      </w:r>
      <w:r>
        <w:rPr>
          <w:rFonts w:hint="eastAsia" w:ascii="宋体" w:hAnsi="宋体" w:eastAsia="宋体" w:cs="宋体"/>
          <w:sz w:val="24"/>
          <w:szCs w:val="24"/>
        </w:rPr>
        <w:br w:type="textWrapping"/>
      </w:r>
      <w:r>
        <w:rPr>
          <w:rFonts w:hint="eastAsia" w:ascii="宋体" w:hAnsi="宋体" w:eastAsia="宋体" w:cs="宋体"/>
          <w:sz w:val="24"/>
          <w:szCs w:val="24"/>
        </w:rPr>
        <w:t xml:space="preserve">        ↓</w:t>
      </w:r>
      <w:r>
        <w:rPr>
          <w:rFonts w:hint="eastAsia" w:ascii="宋体" w:hAnsi="宋体" w:eastAsia="宋体" w:cs="宋体"/>
          <w:sz w:val="24"/>
          <w:szCs w:val="24"/>
        </w:rPr>
        <w:br w:type="textWrapping"/>
      </w:r>
      <w:r>
        <w:rPr>
          <w:rFonts w:hint="eastAsia" w:ascii="宋体" w:hAnsi="宋体" w:eastAsia="宋体" w:cs="宋体"/>
          <w:sz w:val="24"/>
          <w:szCs w:val="24"/>
        </w:rPr>
        <w:t>F_main: [B, 1024, R]</w:t>
      </w:r>
    </w:p>
    <w:p w14:paraId="295E29E2">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其中 P=4 表示 4 个连续脉冲或 range profiles，R 表示距离单元数。ST-GNN 使用空间–时间图结构和 ConvGRU 提取跨距离、跨脉冲的时空特征。</w:t>
      </w:r>
    </w:p>
    <w:p w14:paraId="299ADBC2">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F_main 是最主要的 1024 通道判别特征，包含目标跨脉冲稳定性、邻近距离单元空间关系、I/Q 复回波结构、PL/RPH 物理提示以及目标与海杂波的整体可分性。</w:t>
      </w:r>
    </w:p>
    <w:p w14:paraId="619088E7">
      <w:pPr>
        <w:pStyle w:val="3"/>
        <w:rPr>
          <w:rFonts w:hint="eastAsia" w:ascii="宋体" w:hAnsi="宋体" w:eastAsia="宋体" w:cs="宋体"/>
          <w:sz w:val="24"/>
          <w:szCs w:val="24"/>
        </w:rPr>
      </w:pPr>
      <w:r>
        <w:rPr>
          <w:rFonts w:hint="eastAsia" w:ascii="宋体" w:hAnsi="宋体" w:eastAsia="宋体" w:cs="宋体"/>
          <w:sz w:val="24"/>
          <w:szCs w:val="24"/>
        </w:rPr>
        <w:t>4. 模块 B：PhaseEncoder 相位分支</w:t>
      </w:r>
    </w:p>
    <w:p w14:paraId="3467C911">
      <w:pPr>
        <w:pStyle w:val="4"/>
        <w:rPr>
          <w:rFonts w:hint="eastAsia" w:ascii="宋体" w:hAnsi="宋体" w:eastAsia="宋体" w:cs="宋体"/>
          <w:sz w:val="24"/>
          <w:szCs w:val="24"/>
        </w:rPr>
      </w:pPr>
      <w:r>
        <w:rPr>
          <w:rFonts w:hint="eastAsia" w:ascii="宋体" w:hAnsi="宋体" w:eastAsia="宋体" w:cs="宋体"/>
          <w:sz w:val="24"/>
          <w:szCs w:val="24"/>
        </w:rPr>
        <w:t>4.1 输入与设计思想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4"/>
        <w:gridCol w:w="3392"/>
        <w:gridCol w:w="4350"/>
      </w:tblGrid>
      <w:tr w14:paraId="7913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vAlign w:val="center"/>
          </w:tcPr>
          <w:p w14:paraId="3273C67F">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特征</w:t>
            </w:r>
          </w:p>
        </w:tc>
        <w:tc>
          <w:tcPr>
            <w:tcW w:w="3600" w:type="dxa"/>
            <w:shd w:val="clear" w:color="auto" w:fill="D9EAF7"/>
            <w:vAlign w:val="center"/>
          </w:tcPr>
          <w:p w14:paraId="2D44DFED">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含义</w:t>
            </w:r>
          </w:p>
        </w:tc>
        <w:tc>
          <w:tcPr>
            <w:tcW w:w="4608" w:type="dxa"/>
            <w:shd w:val="clear" w:color="auto" w:fill="D9EAF7"/>
            <w:vAlign w:val="center"/>
          </w:tcPr>
          <w:p w14:paraId="6B5AB192">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对检测的意义</w:t>
            </w:r>
          </w:p>
        </w:tc>
      </w:tr>
      <w:tr w14:paraId="2E5F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72DC3F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temporal_mean</w:t>
            </w:r>
          </w:p>
        </w:tc>
        <w:tc>
          <w:tcPr>
            <w:tcW w:w="3600" w:type="dxa"/>
            <w:vAlign w:val="center"/>
          </w:tcPr>
          <w:p w14:paraId="17245DD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复数跨脉冲均值幅度</w:t>
            </w:r>
          </w:p>
        </w:tc>
        <w:tc>
          <w:tcPr>
            <w:tcW w:w="4608" w:type="dxa"/>
            <w:vAlign w:val="center"/>
          </w:tcPr>
          <w:p w14:paraId="5E0E853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目标相干累加后更强</w:t>
            </w:r>
          </w:p>
        </w:tc>
      </w:tr>
      <w:tr w14:paraId="060F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8FDC59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temporal_std</w:t>
            </w:r>
          </w:p>
        </w:tc>
        <w:tc>
          <w:tcPr>
            <w:tcW w:w="3600" w:type="dxa"/>
            <w:vAlign w:val="center"/>
          </w:tcPr>
          <w:p w14:paraId="12BC2AF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相位跨脉冲波动</w:t>
            </w:r>
          </w:p>
        </w:tc>
        <w:tc>
          <w:tcPr>
            <w:tcW w:w="4608" w:type="dxa"/>
            <w:vAlign w:val="center"/>
          </w:tcPr>
          <w:p w14:paraId="6C23276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杂波相位更随机，目标更稳定</w:t>
            </w:r>
          </w:p>
        </w:tc>
      </w:tr>
      <w:tr w14:paraId="093D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BFD098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phase_stability</w:t>
            </w:r>
          </w:p>
        </w:tc>
        <w:tc>
          <w:tcPr>
            <w:tcW w:w="3600" w:type="dxa"/>
            <w:vAlign w:val="center"/>
          </w:tcPr>
          <w:p w14:paraId="448C1AD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相位稳定性</w:t>
            </w:r>
          </w:p>
        </w:tc>
        <w:tc>
          <w:tcPr>
            <w:tcW w:w="4608" w:type="dxa"/>
            <w:vAlign w:val="center"/>
          </w:tcPr>
          <w:p w14:paraId="7724330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越稳定越可能是目标</w:t>
            </w:r>
          </w:p>
        </w:tc>
      </w:tr>
    </w:tbl>
    <w:p w14:paraId="194D3971">
      <w:pPr>
        <w:rPr>
          <w:rFonts w:hint="eastAsia" w:ascii="宋体" w:hAnsi="宋体" w:eastAsia="宋体" w:cs="宋体"/>
          <w:sz w:val="24"/>
          <w:szCs w:val="24"/>
        </w:rPr>
      </w:pPr>
    </w:p>
    <w:p w14:paraId="18CE100C">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低 SCR 下，目标幅度可能被海杂波淹没，但目标往往仍具有一定跨脉冲相干性。海杂波虽然幅度可能很强，但相位结构更随机。因此，相位分支的作用是突出目标的相干性，而不是目标的绝对幅度。</w:t>
      </w:r>
    </w:p>
    <w:p w14:paraId="346156AD">
      <w:pPr>
        <w:pStyle w:val="4"/>
        <w:rPr>
          <w:rFonts w:hint="eastAsia" w:ascii="宋体" w:hAnsi="宋体" w:eastAsia="宋体" w:cs="宋体"/>
          <w:sz w:val="24"/>
          <w:szCs w:val="24"/>
        </w:rPr>
      </w:pPr>
      <w:r>
        <w:rPr>
          <w:rFonts w:hint="eastAsia" w:ascii="宋体" w:hAnsi="宋体" w:eastAsia="宋体" w:cs="宋体"/>
          <w:sz w:val="24"/>
          <w:szCs w:val="24"/>
        </w:rPr>
        <w:t>4.2 数据流与作用</w:t>
      </w:r>
    </w:p>
    <w:p w14:paraId="3F4A22CB">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Input B: [B, 3, R]</w:t>
      </w:r>
      <w:r>
        <w:rPr>
          <w:rFonts w:hint="eastAsia" w:ascii="宋体" w:hAnsi="宋体" w:eastAsia="宋体" w:cs="宋体"/>
          <w:sz w:val="24"/>
          <w:szCs w:val="24"/>
        </w:rPr>
        <w:br w:type="textWrapping"/>
      </w:r>
      <w:r>
        <w:rPr>
          <w:rFonts w:hint="eastAsia" w:ascii="宋体" w:hAnsi="宋体" w:eastAsia="宋体" w:cs="宋体"/>
          <w:sz w:val="24"/>
          <w:szCs w:val="24"/>
        </w:rPr>
        <w:t xml:space="preserve">        ↓</w:t>
      </w:r>
      <w:r>
        <w:rPr>
          <w:rFonts w:hint="eastAsia" w:ascii="宋体" w:hAnsi="宋体" w:eastAsia="宋体" w:cs="宋体"/>
          <w:sz w:val="24"/>
          <w:szCs w:val="24"/>
        </w:rPr>
        <w:br w:type="textWrapping"/>
      </w:r>
      <w:r>
        <w:rPr>
          <w:rFonts w:hint="eastAsia" w:ascii="宋体" w:hAnsi="宋体" w:eastAsia="宋体" w:cs="宋体"/>
          <w:sz w:val="24"/>
          <w:szCs w:val="24"/>
        </w:rPr>
        <w:t>PhaseEncoder</w:t>
      </w:r>
      <w:r>
        <w:rPr>
          <w:rFonts w:hint="eastAsia" w:ascii="宋体" w:hAnsi="宋体" w:eastAsia="宋体" w:cs="宋体"/>
          <w:sz w:val="24"/>
          <w:szCs w:val="24"/>
        </w:rPr>
        <w:br w:type="textWrapping"/>
      </w:r>
      <w:r>
        <w:rPr>
          <w:rFonts w:hint="eastAsia" w:ascii="宋体" w:hAnsi="宋体" w:eastAsia="宋体" w:cs="宋体"/>
          <w:sz w:val="24"/>
          <w:szCs w:val="24"/>
        </w:rPr>
        <w:t xml:space="preserve">        ↓</w:t>
      </w:r>
      <w:r>
        <w:rPr>
          <w:rFonts w:hint="eastAsia" w:ascii="宋体" w:hAnsi="宋体" w:eastAsia="宋体" w:cs="宋体"/>
          <w:sz w:val="24"/>
          <w:szCs w:val="24"/>
        </w:rPr>
        <w:br w:type="textWrapping"/>
      </w:r>
      <w:r>
        <w:rPr>
          <w:rFonts w:hint="eastAsia" w:ascii="宋体" w:hAnsi="宋体" w:eastAsia="宋体" w:cs="宋体"/>
          <w:sz w:val="24"/>
          <w:szCs w:val="24"/>
        </w:rPr>
        <w:t>F_phase: [B, 128, R]</w:t>
      </w:r>
    </w:p>
    <w:p w14:paraId="30461CD6">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PhaseEncoder 输出 F_phase，它不直接用于最终分类，而是进入 E4 full CVOCA 模块，用来生成极坐标方向 [C, S]。</w:t>
      </w:r>
    </w:p>
    <w:p w14:paraId="7FB0027B">
      <w:pPr>
        <w:pStyle w:val="3"/>
        <w:rPr>
          <w:rFonts w:hint="eastAsia" w:ascii="宋体" w:hAnsi="宋体" w:eastAsia="宋体" w:cs="宋体"/>
          <w:sz w:val="24"/>
          <w:szCs w:val="24"/>
        </w:rPr>
      </w:pPr>
      <w:r>
        <w:rPr>
          <w:rFonts w:hint="eastAsia" w:ascii="宋体" w:hAnsi="宋体" w:eastAsia="宋体" w:cs="宋体"/>
          <w:sz w:val="24"/>
          <w:szCs w:val="24"/>
        </w:rPr>
        <w:t>5. 模块 C：AmpEncoder 幅度分支</w:t>
      </w:r>
    </w:p>
    <w:p w14:paraId="09E013FE">
      <w:pPr>
        <w:pStyle w:val="4"/>
        <w:rPr>
          <w:rFonts w:hint="eastAsia" w:ascii="宋体" w:hAnsi="宋体" w:eastAsia="宋体" w:cs="宋体"/>
          <w:sz w:val="24"/>
          <w:szCs w:val="24"/>
        </w:rPr>
      </w:pPr>
      <w:r>
        <w:rPr>
          <w:rFonts w:hint="eastAsia" w:ascii="宋体" w:hAnsi="宋体" w:eastAsia="宋体" w:cs="宋体"/>
          <w:sz w:val="24"/>
          <w:szCs w:val="24"/>
        </w:rPr>
        <w:t>5.1 输入与设计思想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1F19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AF7"/>
            <w:vAlign w:val="center"/>
          </w:tcPr>
          <w:p w14:paraId="2F9CCF54">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特征</w:t>
            </w:r>
          </w:p>
        </w:tc>
        <w:tc>
          <w:tcPr>
            <w:tcW w:w="7200" w:type="dxa"/>
            <w:shd w:val="clear" w:color="auto" w:fill="D9EAF7"/>
            <w:vAlign w:val="center"/>
          </w:tcPr>
          <w:p w14:paraId="2412C42F">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含义</w:t>
            </w:r>
          </w:p>
        </w:tc>
      </w:tr>
      <w:tr w14:paraId="5038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96128F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amp_map</w:t>
            </w:r>
          </w:p>
        </w:tc>
        <w:tc>
          <w:tcPr>
            <w:tcW w:w="7200" w:type="dxa"/>
            <w:vAlign w:val="center"/>
          </w:tcPr>
          <w:p w14:paraId="6E36AA7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距离维/脉冲维上的幅度分布图</w:t>
            </w:r>
          </w:p>
        </w:tc>
      </w:tr>
      <w:tr w14:paraId="0B8EA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B74112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amp_cell</w:t>
            </w:r>
          </w:p>
        </w:tc>
        <w:tc>
          <w:tcPr>
            <w:tcW w:w="7200" w:type="dxa"/>
            <w:vAlign w:val="center"/>
          </w:tcPr>
          <w:p w14:paraId="1875038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距离单元级幅度统计</w:t>
            </w:r>
          </w:p>
        </w:tc>
      </w:tr>
    </w:tbl>
    <w:p w14:paraId="7974B7A6">
      <w:pPr>
        <w:rPr>
          <w:rFonts w:hint="eastAsia" w:ascii="宋体" w:hAnsi="宋体" w:eastAsia="宋体" w:cs="宋体"/>
          <w:sz w:val="24"/>
          <w:szCs w:val="24"/>
        </w:rPr>
      </w:pPr>
    </w:p>
    <w:p w14:paraId="551556A4">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幅度信息本身是有用的，但不能粗暴作为独立目标证据。海杂波中经常存在海尖峰、局部强杂波、幅度突增和非目标强散射。如果直接把幅度特征 concat 进分类器，模型容易误把“强幅度”当成“目标”。</w:t>
      </w:r>
    </w:p>
    <w:p w14:paraId="2E73B37D">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因此，E4-D2 中幅度分支的用法是：幅度作为相位方向的调制强度。</w:t>
      </w:r>
    </w:p>
    <w:p w14:paraId="5FAEBB8C">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不是：幅度强 → 目标</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而是：相位方向像目标，并且幅度支持这个方向 → 增强响应</w:t>
      </w:r>
    </w:p>
    <w:p w14:paraId="44D5E417">
      <w:pPr>
        <w:pStyle w:val="4"/>
        <w:rPr>
          <w:rFonts w:hint="eastAsia" w:ascii="宋体" w:hAnsi="宋体" w:eastAsia="宋体" w:cs="宋体"/>
          <w:sz w:val="24"/>
          <w:szCs w:val="24"/>
        </w:rPr>
      </w:pPr>
      <w:r>
        <w:rPr>
          <w:rFonts w:hint="eastAsia" w:ascii="宋体" w:hAnsi="宋体" w:eastAsia="宋体" w:cs="宋体"/>
          <w:sz w:val="24"/>
          <w:szCs w:val="24"/>
        </w:rPr>
        <w:t>5.2 数据流与作用</w:t>
      </w:r>
    </w:p>
    <w:p w14:paraId="43FEA2D8">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Input C: [B, 2, R]</w:t>
      </w:r>
      <w:r>
        <w:rPr>
          <w:rFonts w:hint="eastAsia" w:ascii="宋体" w:hAnsi="宋体" w:eastAsia="宋体" w:cs="宋体"/>
          <w:sz w:val="24"/>
          <w:szCs w:val="24"/>
        </w:rPr>
        <w:br w:type="textWrapping"/>
      </w:r>
      <w:r>
        <w:rPr>
          <w:rFonts w:hint="eastAsia" w:ascii="宋体" w:hAnsi="宋体" w:eastAsia="宋体" w:cs="宋体"/>
          <w:sz w:val="24"/>
          <w:szCs w:val="24"/>
        </w:rPr>
        <w:t xml:space="preserve">        ↓</w:t>
      </w:r>
      <w:r>
        <w:rPr>
          <w:rFonts w:hint="eastAsia" w:ascii="宋体" w:hAnsi="宋体" w:eastAsia="宋体" w:cs="宋体"/>
          <w:sz w:val="24"/>
          <w:szCs w:val="24"/>
        </w:rPr>
        <w:br w:type="textWrapping"/>
      </w:r>
      <w:r>
        <w:rPr>
          <w:rFonts w:hint="eastAsia" w:ascii="宋体" w:hAnsi="宋体" w:eastAsia="宋体" w:cs="宋体"/>
          <w:sz w:val="24"/>
          <w:szCs w:val="24"/>
        </w:rPr>
        <w:t>AmpEncoder</w:t>
      </w:r>
      <w:r>
        <w:rPr>
          <w:rFonts w:hint="eastAsia" w:ascii="宋体" w:hAnsi="宋体" w:eastAsia="宋体" w:cs="宋体"/>
          <w:sz w:val="24"/>
          <w:szCs w:val="24"/>
        </w:rPr>
        <w:br w:type="textWrapping"/>
      </w:r>
      <w:r>
        <w:rPr>
          <w:rFonts w:hint="eastAsia" w:ascii="宋体" w:hAnsi="宋体" w:eastAsia="宋体" w:cs="宋体"/>
          <w:sz w:val="24"/>
          <w:szCs w:val="24"/>
        </w:rPr>
        <w:t xml:space="preserve">        ↓</w:t>
      </w:r>
      <w:r>
        <w:rPr>
          <w:rFonts w:hint="eastAsia" w:ascii="宋体" w:hAnsi="宋体" w:eastAsia="宋体" w:cs="宋体"/>
          <w:sz w:val="24"/>
          <w:szCs w:val="24"/>
        </w:rPr>
        <w:br w:type="textWrapping"/>
      </w:r>
      <w:r>
        <w:rPr>
          <w:rFonts w:hint="eastAsia" w:ascii="宋体" w:hAnsi="宋体" w:eastAsia="宋体" w:cs="宋体"/>
          <w:sz w:val="24"/>
          <w:szCs w:val="24"/>
        </w:rPr>
        <w:t>F_amp: [B, 64, R]</w:t>
      </w:r>
    </w:p>
    <w:p w14:paraId="3FA6A603">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AmpEncoder 输出 F_amp，进入 CVOCA 模块后生成 A = softplus(proj(F_amp))。使用 softplus 是为了保证幅度调制量为非负，这符合雷达复回波中幅度 A 的物理含义。</w:t>
      </w:r>
    </w:p>
    <w:p w14:paraId="18F3543D">
      <w:pPr>
        <w:pStyle w:val="3"/>
        <w:rPr>
          <w:rFonts w:hint="eastAsia" w:ascii="宋体" w:hAnsi="宋体" w:eastAsia="宋体" w:cs="宋体"/>
          <w:sz w:val="24"/>
          <w:szCs w:val="24"/>
        </w:rPr>
      </w:pPr>
      <w:r>
        <w:rPr>
          <w:rFonts w:hint="eastAsia" w:ascii="宋体" w:hAnsi="宋体" w:eastAsia="宋体" w:cs="宋体"/>
          <w:sz w:val="24"/>
          <w:szCs w:val="24"/>
        </w:rPr>
        <w:t>6. 模块 E4：Full CVOCA / AP Fusion 幅相复值融合</w:t>
      </w:r>
    </w:p>
    <w:p w14:paraId="08CDB720">
      <w:pPr>
        <w:pStyle w:val="4"/>
        <w:rPr>
          <w:rFonts w:hint="eastAsia" w:ascii="宋体" w:hAnsi="宋体" w:eastAsia="宋体" w:cs="宋体"/>
          <w:sz w:val="24"/>
          <w:szCs w:val="24"/>
        </w:rPr>
      </w:pPr>
      <w:r>
        <w:rPr>
          <w:rFonts w:hint="eastAsia" w:ascii="宋体" w:hAnsi="宋体" w:eastAsia="宋体" w:cs="宋体"/>
          <w:sz w:val="24"/>
          <w:szCs w:val="24"/>
        </w:rPr>
        <w:t>6.1 设计思想</w:t>
      </w:r>
    </w:p>
    <w:p w14:paraId="060212B1">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雷达复回波可以写成 X = A e^{jθ}，也可以展开为 X = A cosθ + j A sinθ。E4 full CVOCA 的核心就是把幅度分支和相位分支重新组合成类似复数形式的特征。</w:t>
      </w:r>
    </w:p>
    <w:p w14:paraId="5F913934">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幅度分支 → A</w:t>
      </w:r>
      <w:r>
        <w:rPr>
          <w:rFonts w:hint="eastAsia" w:ascii="宋体" w:hAnsi="宋体" w:eastAsia="宋体" w:cs="宋体"/>
          <w:sz w:val="24"/>
          <w:szCs w:val="24"/>
        </w:rPr>
        <w:br w:type="textWrapping"/>
      </w:r>
      <w:r>
        <w:rPr>
          <w:rFonts w:hint="eastAsia" w:ascii="宋体" w:hAnsi="宋体" w:eastAsia="宋体" w:cs="宋体"/>
          <w:sz w:val="24"/>
          <w:szCs w:val="24"/>
        </w:rPr>
        <w:t>相位分支 → cos方向 C, sin方向 S</w:t>
      </w:r>
      <w:r>
        <w:rPr>
          <w:rFonts w:hint="eastAsia" w:ascii="宋体" w:hAnsi="宋体" w:eastAsia="宋体" w:cs="宋体"/>
          <w:sz w:val="24"/>
          <w:szCs w:val="24"/>
        </w:rPr>
        <w:br w:type="textWrapping"/>
      </w:r>
      <w:r>
        <w:rPr>
          <w:rFonts w:hint="eastAsia" w:ascii="宋体" w:hAnsi="宋体" w:eastAsia="宋体" w:cs="宋体"/>
          <w:sz w:val="24"/>
          <w:szCs w:val="24"/>
        </w:rPr>
        <w:t>融合 → A·C, A·S</w:t>
      </w:r>
    </w:p>
    <w:p w14:paraId="1064D0CB">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因此，该模块不是简单拼接 [F_amp, F_phase]，而是构造物理一致的极坐标耦合：</w:t>
      </w:r>
    </w:p>
    <w:p w14:paraId="5AAE161C">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Z_real = A · C</w:t>
      </w:r>
      <w:r>
        <w:rPr>
          <w:rFonts w:hint="eastAsia" w:ascii="宋体" w:hAnsi="宋体" w:eastAsia="宋体" w:cs="宋体"/>
          <w:sz w:val="24"/>
          <w:szCs w:val="24"/>
        </w:rPr>
        <w:br w:type="textWrapping"/>
      </w:r>
      <w:r>
        <w:rPr>
          <w:rFonts w:hint="eastAsia" w:ascii="宋体" w:hAnsi="宋体" w:eastAsia="宋体" w:cs="宋体"/>
          <w:sz w:val="24"/>
          <w:szCs w:val="24"/>
        </w:rPr>
        <w:t>Z_imag = A · S</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即构造可学习的复值特征：</w:t>
      </w:r>
      <w:r>
        <w:rPr>
          <w:rFonts w:hint="eastAsia" w:ascii="宋体" w:hAnsi="宋体" w:eastAsia="宋体" w:cs="宋体"/>
          <w:sz w:val="24"/>
          <w:szCs w:val="24"/>
        </w:rPr>
        <w:br w:type="textWrapping"/>
      </w:r>
      <w:r>
        <w:rPr>
          <w:rFonts w:hint="eastAsia" w:ascii="宋体" w:hAnsi="宋体" w:eastAsia="宋体" w:cs="宋体"/>
          <w:sz w:val="24"/>
          <w:szCs w:val="24"/>
        </w:rPr>
        <w:t>Z = A(C + jS)</w:t>
      </w:r>
    </w:p>
    <w:p w14:paraId="4A8FF0DC">
      <w:pPr>
        <w:pStyle w:val="4"/>
        <w:rPr>
          <w:rFonts w:hint="eastAsia" w:ascii="宋体" w:hAnsi="宋体" w:eastAsia="宋体" w:cs="宋体"/>
          <w:sz w:val="24"/>
          <w:szCs w:val="24"/>
        </w:rPr>
      </w:pPr>
      <w:r>
        <w:rPr>
          <w:rFonts w:hint="eastAsia" w:ascii="宋体" w:hAnsi="宋体" w:eastAsia="宋体" w:cs="宋体"/>
          <w:sz w:val="24"/>
          <w:szCs w:val="24"/>
        </w:rPr>
        <w:t>6.2 具体设计</w:t>
      </w:r>
    </w:p>
    <w:p w14:paraId="3528CA1E">
      <w:pPr>
        <w:pStyle w:val="14"/>
        <w:rPr>
          <w:rFonts w:hint="eastAsia" w:ascii="宋体" w:hAnsi="宋体" w:eastAsia="宋体" w:cs="宋体"/>
          <w:sz w:val="24"/>
          <w:szCs w:val="24"/>
        </w:rPr>
      </w:pPr>
      <w:r>
        <w:rPr>
          <w:rFonts w:hint="eastAsia" w:ascii="宋体" w:hAnsi="宋体" w:eastAsia="宋体" w:cs="宋体"/>
          <w:sz w:val="24"/>
          <w:szCs w:val="24"/>
        </w:rPr>
        <w:t>幅度投影：A = softplus(proj(F_amp))。它从幅度分支得到非负调制强度，避免幅度直接变成分类证据，并让幅度作为相位结构的权重。</w:t>
      </w:r>
    </w:p>
    <w:p w14:paraId="01F54B1D">
      <w:pPr>
        <w:pStyle w:val="14"/>
        <w:rPr>
          <w:rFonts w:hint="eastAsia" w:ascii="宋体" w:hAnsi="宋体" w:eastAsia="宋体" w:cs="宋体"/>
          <w:sz w:val="24"/>
          <w:szCs w:val="24"/>
        </w:rPr>
      </w:pPr>
      <w:r>
        <w:rPr>
          <w:rFonts w:hint="eastAsia" w:ascii="宋体" w:hAnsi="宋体" w:eastAsia="宋体" w:cs="宋体"/>
          <w:sz w:val="24"/>
          <w:szCs w:val="24"/>
        </w:rPr>
        <w:t>相位方向投影：[C, S] = L2-normalize([cos_proj(F_phase), sin_proj(F_phase)])。L2 normalize 使方向向量满足 C² + S² ≈ 1，从而把方向和强度分开。</w:t>
      </w:r>
    </w:p>
    <w:p w14:paraId="674C77EE">
      <w:pPr>
        <w:pStyle w:val="14"/>
        <w:rPr>
          <w:rFonts w:hint="eastAsia" w:ascii="宋体" w:hAnsi="宋体" w:eastAsia="宋体" w:cs="宋体"/>
          <w:sz w:val="24"/>
          <w:szCs w:val="24"/>
        </w:rPr>
      </w:pPr>
      <w:r>
        <w:rPr>
          <w:rFonts w:hint="eastAsia" w:ascii="宋体" w:hAnsi="宋体" w:eastAsia="宋体" w:cs="宋体"/>
          <w:sz w:val="24"/>
          <w:szCs w:val="24"/>
        </w:rPr>
        <w:t>幅相耦合：Z_real = A·C，Z_imag = A·S。只有当相位方向稳定且幅度信息支持时，响应才会增强。</w:t>
      </w:r>
    </w:p>
    <w:p w14:paraId="080D709B">
      <w:pPr>
        <w:pStyle w:val="14"/>
        <w:rPr>
          <w:rFonts w:hint="eastAsia" w:ascii="宋体" w:hAnsi="宋体" w:eastAsia="宋体" w:cs="宋体"/>
          <w:sz w:val="24"/>
          <w:szCs w:val="24"/>
        </w:rPr>
      </w:pPr>
      <w:r>
        <w:rPr>
          <w:rFonts w:hint="eastAsia" w:ascii="宋体" w:hAnsi="宋体" w:eastAsia="宋体" w:cs="宋体"/>
          <w:sz w:val="24"/>
          <w:szCs w:val="24"/>
        </w:rPr>
        <w:t>ComplexConv 复值卷积：显式建模实部和虚部之间的交叉关系。</w:t>
      </w:r>
    </w:p>
    <w:p w14:paraId="65255530">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Y_real = Conv_R(Z_real) - Conv_I(Z_imag)</w:t>
      </w:r>
      <w:r>
        <w:rPr>
          <w:rFonts w:hint="eastAsia" w:ascii="宋体" w:hAnsi="宋体" w:eastAsia="宋体" w:cs="宋体"/>
          <w:sz w:val="24"/>
          <w:szCs w:val="24"/>
        </w:rPr>
        <w:br w:type="textWrapping"/>
      </w:r>
      <w:r>
        <w:rPr>
          <w:rFonts w:hint="eastAsia" w:ascii="宋体" w:hAnsi="宋体" w:eastAsia="宋体" w:cs="宋体"/>
          <w:sz w:val="24"/>
          <w:szCs w:val="24"/>
        </w:rPr>
        <w:t>Y_imag = Conv_R(Z_imag) + Conv_I(Z_real)</w:t>
      </w:r>
    </w:p>
    <w:p w14:paraId="282D17CC">
      <w:pPr>
        <w:pStyle w:val="14"/>
        <w:rPr>
          <w:rFonts w:hint="eastAsia" w:ascii="宋体" w:hAnsi="宋体" w:eastAsia="宋体" w:cs="宋体"/>
          <w:sz w:val="24"/>
          <w:szCs w:val="24"/>
        </w:rPr>
      </w:pPr>
      <w:r>
        <w:rPr>
          <w:rFonts w:hint="eastAsia" w:ascii="宋体" w:hAnsi="宋体" w:eastAsia="宋体" w:cs="宋体"/>
          <w:sz w:val="24"/>
          <w:szCs w:val="24"/>
        </w:rPr>
        <w:t>复幅度计算：|Y| = sqrt(Y_real² + Y_imag² + ε)。其中 ε 用于数值稳定。</w:t>
      </w:r>
    </w:p>
    <w:p w14:paraId="5AB7528D">
      <w:pPr>
        <w:pStyle w:val="14"/>
        <w:rPr>
          <w:rFonts w:hint="eastAsia" w:ascii="宋体" w:hAnsi="宋体" w:eastAsia="宋体" w:cs="宋体"/>
          <w:sz w:val="24"/>
          <w:szCs w:val="24"/>
        </w:rPr>
      </w:pPr>
      <w:r>
        <w:rPr>
          <w:rFonts w:hint="eastAsia" w:ascii="宋体" w:hAnsi="宋体" w:eastAsia="宋体" w:cs="宋体"/>
          <w:sz w:val="24"/>
          <w:szCs w:val="24"/>
        </w:rPr>
        <w:t>输出 AP 融合特征：Concat [Y_real, Y_imag, |Y|] → Conv1d → F_AP，输出维度为 [B, 64, R]。</w:t>
      </w:r>
    </w:p>
    <w:p w14:paraId="3F8D0E3E">
      <w:pPr>
        <w:pStyle w:val="4"/>
        <w:rPr>
          <w:rFonts w:hint="eastAsia" w:ascii="宋体" w:hAnsi="宋体" w:eastAsia="宋体" w:cs="宋体"/>
          <w:sz w:val="24"/>
          <w:szCs w:val="24"/>
        </w:rPr>
      </w:pPr>
      <w:r>
        <w:rPr>
          <w:rFonts w:hint="eastAsia" w:ascii="宋体" w:hAnsi="宋体" w:eastAsia="宋体" w:cs="宋体"/>
          <w:sz w:val="24"/>
          <w:szCs w:val="24"/>
        </w:rPr>
        <w:t>6.3 ComplexConv 的作用</w:t>
      </w:r>
    </w:p>
    <w:p w14:paraId="48434565">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ComplexConv 的作用是进一步建模实部和虚部之间的交叉关系。普通 concat 只会把 Z_real、Z_imag 当作普通通道；ComplexConv 则显式保留复数乘法结构。</w:t>
      </w:r>
    </w:p>
    <w:p w14:paraId="4DD701FF">
      <w:pPr>
        <w:pStyle w:val="3"/>
        <w:rPr>
          <w:rFonts w:hint="eastAsia" w:ascii="宋体" w:hAnsi="宋体" w:eastAsia="宋体" w:cs="宋体"/>
          <w:sz w:val="24"/>
          <w:szCs w:val="24"/>
        </w:rPr>
      </w:pPr>
      <w:r>
        <w:rPr>
          <w:rFonts w:hint="eastAsia" w:ascii="宋体" w:hAnsi="宋体" w:eastAsia="宋体" w:cs="宋体"/>
          <w:sz w:val="24"/>
          <w:szCs w:val="24"/>
        </w:rPr>
        <w:t>7. 模块 D：Global MLP 分支</w:t>
      </w:r>
    </w:p>
    <w:p w14:paraId="6CD8628E">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global_6ch 描述整个样本的整体幅度尺度和动态范围，包括 global_rms、global_p95、global_p99、global_max、global_mean、global_std 等统计量。</w:t>
      </w:r>
    </w:p>
    <w:p w14:paraId="62F679D5">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不同样本的背景海杂波强度、动态范围和能量尺度可能不同。Global 分支提供样本级上下文，使模型能够判断当前距离单元的响应在当前整体海杂波背景下是否异常。</w:t>
      </w:r>
    </w:p>
    <w:p w14:paraId="646FB38E">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Input D: [B, 6]</w:t>
      </w:r>
      <w:r>
        <w:rPr>
          <w:rFonts w:hint="eastAsia" w:ascii="宋体" w:hAnsi="宋体" w:eastAsia="宋体" w:cs="宋体"/>
          <w:sz w:val="24"/>
          <w:szCs w:val="24"/>
        </w:rPr>
        <w:br w:type="textWrapping"/>
      </w:r>
      <w:r>
        <w:rPr>
          <w:rFonts w:hint="eastAsia" w:ascii="宋体" w:hAnsi="宋体" w:eastAsia="宋体" w:cs="宋体"/>
          <w:sz w:val="24"/>
          <w:szCs w:val="24"/>
        </w:rPr>
        <w:t xml:space="preserve">        ↓</w:t>
      </w:r>
      <w:r>
        <w:rPr>
          <w:rFonts w:hint="eastAsia" w:ascii="宋体" w:hAnsi="宋体" w:eastAsia="宋体" w:cs="宋体"/>
          <w:sz w:val="24"/>
          <w:szCs w:val="24"/>
        </w:rPr>
        <w:br w:type="textWrapping"/>
      </w:r>
      <w:r>
        <w:rPr>
          <w:rFonts w:hint="eastAsia" w:ascii="宋体" w:hAnsi="宋体" w:eastAsia="宋体" w:cs="宋体"/>
          <w:sz w:val="24"/>
          <w:szCs w:val="24"/>
        </w:rPr>
        <w:t>Global MLP</w:t>
      </w:r>
      <w:r>
        <w:rPr>
          <w:rFonts w:hint="eastAsia" w:ascii="宋体" w:hAnsi="宋体" w:eastAsia="宋体" w:cs="宋体"/>
          <w:sz w:val="24"/>
          <w:szCs w:val="24"/>
        </w:rPr>
        <w:br w:type="textWrapping"/>
      </w:r>
      <w:r>
        <w:rPr>
          <w:rFonts w:hint="eastAsia" w:ascii="宋体" w:hAnsi="宋体" w:eastAsia="宋体" w:cs="宋体"/>
          <w:sz w:val="24"/>
          <w:szCs w:val="24"/>
        </w:rPr>
        <w:t xml:space="preserve">        ↓</w:t>
      </w:r>
      <w:r>
        <w:rPr>
          <w:rFonts w:hint="eastAsia" w:ascii="宋体" w:hAnsi="宋体" w:eastAsia="宋体" w:cs="宋体"/>
          <w:sz w:val="24"/>
          <w:szCs w:val="24"/>
        </w:rPr>
        <w:br w:type="textWrapping"/>
      </w:r>
      <w:r>
        <w:rPr>
          <w:rFonts w:hint="eastAsia" w:ascii="宋体" w:hAnsi="宋体" w:eastAsia="宋体" w:cs="宋体"/>
          <w:sz w:val="24"/>
          <w:szCs w:val="24"/>
        </w:rPr>
        <w:t>G_broadcast: [B, 128, R]</w:t>
      </w:r>
    </w:p>
    <w:p w14:paraId="3CA737E2">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broadcast 表示先得到 [B, 128]，再沿距离维复制成 [B, 128, R]。它帮助后续检测头进行全局尺度校准。</w:t>
      </w:r>
    </w:p>
    <w:p w14:paraId="43684C8E">
      <w:pPr>
        <w:pStyle w:val="3"/>
        <w:rPr>
          <w:rFonts w:hint="eastAsia" w:ascii="宋体" w:hAnsi="宋体" w:eastAsia="宋体" w:cs="宋体"/>
          <w:sz w:val="24"/>
          <w:szCs w:val="24"/>
        </w:rPr>
      </w:pPr>
      <w:r>
        <w:rPr>
          <w:rFonts w:hint="eastAsia" w:ascii="宋体" w:hAnsi="宋体" w:eastAsia="宋体" w:cs="宋体"/>
          <w:sz w:val="24"/>
          <w:szCs w:val="24"/>
        </w:rPr>
        <w:t>8. 特征融合：1216ch 总特征</w:t>
      </w:r>
    </w:p>
    <w:p w14:paraId="6341E11F">
      <w:pPr>
        <w:spacing w:line="276" w:lineRule="auto"/>
        <w:ind w:firstLine="317"/>
        <w:rPr>
          <w:rFonts w:hint="eastAsia" w:ascii="宋体" w:hAnsi="宋体" w:eastAsia="宋体" w:cs="宋体"/>
          <w:sz w:val="24"/>
          <w:szCs w:val="24"/>
        </w:rPr>
      </w:pPr>
      <w:r>
        <w:rPr>
          <w:rFonts w:hint="eastAsia" w:ascii="宋体" w:hAnsi="宋体" w:eastAsia="宋体" w:cs="宋体"/>
          <w:sz w:val="24"/>
          <w:szCs w:val="24"/>
        </w:rPr>
        <w:t>经过前面三个主要特征分支后，进行 concat：</w:t>
      </w:r>
    </w:p>
    <w:p w14:paraId="33B40C6E">
      <w:pPr>
        <w:pStyle w:val="164"/>
        <w:shd w:val="clear" w:fill="F2F2F2"/>
        <w:spacing w:before="60" w:after="120"/>
        <w:ind w:left="259" w:right="72"/>
        <w:rPr>
          <w:rFonts w:hint="eastAsia" w:ascii="宋体" w:hAnsi="宋体" w:eastAsia="宋体" w:cs="宋体"/>
          <w:sz w:val="24"/>
          <w:szCs w:val="24"/>
        </w:rPr>
      </w:pPr>
      <w:r>
        <w:rPr>
          <w:rFonts w:hint="eastAsia" w:ascii="宋体" w:hAnsi="宋体" w:eastAsia="宋体" w:cs="宋体"/>
          <w:sz w:val="24"/>
          <w:szCs w:val="24"/>
        </w:rPr>
        <w:t>F = concat([F_main, F_AP, G_broadcast])</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F_main       = 1024ch</w:t>
      </w:r>
      <w:r>
        <w:rPr>
          <w:rFonts w:hint="eastAsia" w:ascii="宋体" w:hAnsi="宋体" w:eastAsia="宋体" w:cs="宋体"/>
          <w:sz w:val="24"/>
          <w:szCs w:val="24"/>
        </w:rPr>
        <w:br w:type="textWrapping"/>
      </w:r>
      <w:r>
        <w:rPr>
          <w:rFonts w:hint="eastAsia" w:ascii="宋体" w:hAnsi="宋体" w:eastAsia="宋体" w:cs="宋体"/>
          <w:sz w:val="24"/>
          <w:szCs w:val="24"/>
        </w:rPr>
        <w:t>F_AP         = 64ch</w:t>
      </w:r>
      <w:r>
        <w:rPr>
          <w:rFonts w:hint="eastAsia" w:ascii="宋体" w:hAnsi="宋体" w:eastAsia="宋体" w:cs="宋体"/>
          <w:sz w:val="24"/>
          <w:szCs w:val="24"/>
        </w:rPr>
        <w:br w:type="textWrapping"/>
      </w:r>
      <w:r>
        <w:rPr>
          <w:rFonts w:hint="eastAsia" w:ascii="宋体" w:hAnsi="宋体" w:eastAsia="宋体" w:cs="宋体"/>
          <w:sz w:val="24"/>
          <w:szCs w:val="24"/>
        </w:rPr>
        <w:t>G_broadcast = 128ch</w:t>
      </w:r>
      <w:r>
        <w:rPr>
          <w:rFonts w:hint="eastAsia" w:ascii="宋体" w:hAnsi="宋体" w:eastAsia="宋体" w:cs="宋体"/>
          <w:sz w:val="24"/>
          <w:szCs w:val="24"/>
        </w:rPr>
        <w:br w:type="textWrapping"/>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rPr>
        <w:t>Total        = 1216ch</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375"/>
        <w:gridCol w:w="3074"/>
      </w:tblGrid>
      <w:tr w14:paraId="49FF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D9EAF7"/>
            <w:vAlign w:val="center"/>
          </w:tcPr>
          <w:p w14:paraId="48A20073">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特征</w:t>
            </w:r>
          </w:p>
        </w:tc>
        <w:tc>
          <w:tcPr>
            <w:tcW w:w="1375" w:type="dxa"/>
            <w:shd w:val="clear" w:color="auto" w:fill="D9EAF7"/>
            <w:vAlign w:val="center"/>
          </w:tcPr>
          <w:p w14:paraId="039A402C">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维度</w:t>
            </w:r>
          </w:p>
        </w:tc>
        <w:tc>
          <w:tcPr>
            <w:tcW w:w="3074" w:type="dxa"/>
            <w:shd w:val="clear" w:color="auto" w:fill="D9EAF7"/>
            <w:vAlign w:val="center"/>
          </w:tcPr>
          <w:p w14:paraId="0C8135BF">
            <w:pPr>
              <w:spacing w:after="0" w:line="240" w:lineRule="auto"/>
              <w:rPr>
                <w:rFonts w:hint="eastAsia" w:ascii="宋体" w:hAnsi="宋体" w:eastAsia="宋体" w:cs="宋体"/>
                <w:sz w:val="24"/>
                <w:szCs w:val="24"/>
              </w:rPr>
            </w:pPr>
            <w:r>
              <w:rPr>
                <w:rFonts w:hint="eastAsia" w:ascii="宋体" w:hAnsi="宋体" w:eastAsia="宋体" w:cs="宋体"/>
                <w:b/>
                <w:color w:val="1F4E79"/>
                <w:sz w:val="24"/>
                <w:szCs w:val="24"/>
              </w:rPr>
              <w:t>提供的信息</w:t>
            </w:r>
          </w:p>
        </w:tc>
      </w:tr>
      <w:tr w14:paraId="3D72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502A47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F_main</w:t>
            </w:r>
          </w:p>
        </w:tc>
        <w:tc>
          <w:tcPr>
            <w:tcW w:w="1375" w:type="dxa"/>
            <w:vAlign w:val="center"/>
          </w:tcPr>
          <w:p w14:paraId="1FBB16B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1024</w:t>
            </w:r>
          </w:p>
        </w:tc>
        <w:tc>
          <w:tcPr>
            <w:tcW w:w="3074" w:type="dxa"/>
            <w:vAlign w:val="center"/>
          </w:tcPr>
          <w:p w14:paraId="02D2671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ST-GNN 时空主特征</w:t>
            </w:r>
          </w:p>
        </w:tc>
      </w:tr>
      <w:tr w14:paraId="3A8A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282AF80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F_AP</w:t>
            </w:r>
          </w:p>
        </w:tc>
        <w:tc>
          <w:tcPr>
            <w:tcW w:w="1375" w:type="dxa"/>
            <w:vAlign w:val="center"/>
          </w:tcPr>
          <w:p w14:paraId="0E4CD51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64</w:t>
            </w:r>
          </w:p>
        </w:tc>
        <w:tc>
          <w:tcPr>
            <w:tcW w:w="3074" w:type="dxa"/>
            <w:vAlign w:val="center"/>
          </w:tcPr>
          <w:p w14:paraId="1ED3AFC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幅相极坐标复值融合特征</w:t>
            </w:r>
          </w:p>
        </w:tc>
      </w:tr>
      <w:tr w14:paraId="6DF2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430E846">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G_broadcast</w:t>
            </w:r>
          </w:p>
        </w:tc>
        <w:tc>
          <w:tcPr>
            <w:tcW w:w="1375" w:type="dxa"/>
            <w:vAlign w:val="center"/>
          </w:tcPr>
          <w:p w14:paraId="5C20382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128</w:t>
            </w:r>
          </w:p>
        </w:tc>
        <w:tc>
          <w:tcPr>
            <w:tcW w:w="3074" w:type="dxa"/>
            <w:vAlign w:val="center"/>
          </w:tcPr>
          <w:p w14:paraId="4C9FACC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样本级全局背景尺度</w:t>
            </w:r>
          </w:p>
        </w:tc>
      </w:tr>
    </w:tbl>
    <w:p w14:paraId="6388378E">
      <w:pPr>
        <w:rPr>
          <w:rFonts w:hint="eastAsia" w:ascii="宋体" w:hAnsi="宋体" w:eastAsia="宋体" w:cs="宋体"/>
          <w:sz w:val="24"/>
          <w:szCs w:val="24"/>
        </w:rPr>
      </w:pPr>
    </w:p>
    <w:p w14:paraId="4CF7DA2E">
      <w:pPr>
        <w:pStyle w:val="3"/>
        <w:rPr>
          <w:rFonts w:hint="eastAsia" w:ascii="宋体" w:hAnsi="宋体" w:eastAsia="宋体" w:cs="宋体"/>
          <w:sz w:val="24"/>
          <w:szCs w:val="24"/>
        </w:rPr>
      </w:pPr>
      <w:r>
        <w:t>9. 模块 D2：Da-only Local-CFAR-like 对数绝对差异判决头</w:t>
      </w:r>
    </w:p>
    <w:p w14:paraId="267E74A9">
      <w:pPr>
        <w:pStyle w:val="4"/>
        <w:rPr>
          <w:rFonts w:hint="eastAsia" w:ascii="宋体" w:hAnsi="宋体" w:eastAsia="宋体" w:cs="宋体"/>
          <w:sz w:val="24"/>
          <w:szCs w:val="24"/>
        </w:rPr>
      </w:pPr>
      <w:r>
        <w:t>9.1 设计思想</w:t>
      </w:r>
    </w:p>
    <w:p w14:paraId="55FD7EBD">
      <w:pPr>
        <w:spacing w:line="276" w:lineRule="auto"/>
        <w:ind w:firstLine="317"/>
        <w:rPr>
          <w:rFonts w:hint="eastAsia" w:ascii="宋体" w:hAnsi="宋体" w:eastAsia="宋体" w:cs="宋体"/>
          <w:sz w:val="24"/>
          <w:szCs w:val="24"/>
        </w:rPr>
      </w:pPr>
      <w:r>
        <w:t>传统 CFAR 的核心不是单独判断 CUT 本身“像不像目标”，而是判断 CUT 相对于周围参考单元估计得到的局部杂波背景是否异常。最终版 D2 保留 k=3、k=7、k=15 的多尺度局部背景建模，并采用 G3 实验对应的 D_a-only 判决：先把当前单元特征与背景特征投影到统一比较空间，构造 Δ=U_d-U_h，再计算 D_a=log(1+|Δ|)。其中绝对值仅保留偏离背景的强度，log1p 用于压缩大差异的动态范围并保持小差异区域的分辨能力。最终分类器只依据 D_a 输出 target / clutter logits。判决网络消融结果表明，显式加入方向分量 D_s 未带来相对于 D_a-only 的增量收益，因此最终不再保留 D_s。</w:t>
      </w:r>
    </w:p>
    <w:p w14:paraId="2AE75055">
      <w:pPr>
        <w:pStyle w:val="164"/>
        <w:shd w:val="clear" w:fill="F2F2F2"/>
        <w:spacing w:before="60" w:after="120"/>
        <w:ind w:left="259" w:right="72"/>
        <w:rPr>
          <w:rFonts w:hint="eastAsia" w:ascii="宋体" w:hAnsi="宋体" w:eastAsia="宋体" w:cs="宋体"/>
          <w:sz w:val="24"/>
          <w:szCs w:val="24"/>
        </w:rPr>
      </w:pPr>
      <w:r>
        <w:t>对每个距离单元：</w:t>
        <w:br/>
        <w:t xml:space="preserve">  1) 得到当前检测单元特征 F_d</w:t>
        <w:br/>
        <w:t xml:space="preserve">  2) 通过 k=3 / k=7 / k=15 多尺度局部卷积估计背景 H_ms</w:t>
        <w:br/>
        <w:t xml:space="preserve">  3) 将 F_d 与 H_ms 投影为 U_d、U_h（128ch）</w:t>
        <w:br/>
        <w:t xml:space="preserve">  4) 构造 Δ = U_d - U_h</w:t>
        <w:br/>
        <w:t xml:space="preserve">  5) 计算 D_a = log(1 + |Δ|)</w:t>
        <w:br/>
        <w:t xml:space="preserve">  6) 仅用 D_a 完成目标 / 杂波判决</w:t>
      </w:r>
    </w:p>
    <w:p w14:paraId="7D16A0A9">
      <w:pPr>
        <w:pStyle w:val="4"/>
        <w:rPr>
          <w:rFonts w:hint="eastAsia" w:ascii="宋体" w:hAnsi="宋体" w:eastAsia="宋体" w:cs="宋体"/>
          <w:sz w:val="24"/>
          <w:szCs w:val="24"/>
        </w:rPr>
      </w:pPr>
      <w:r>
        <w:t>9.2 当前检测单元特征 F_d</w:t>
      </w:r>
    </w:p>
    <w:p w14:paraId="18592DAA">
      <w:pPr>
        <w:pStyle w:val="164"/>
        <w:shd w:val="clear" w:fill="F2F2F2"/>
        <w:spacing w:before="60" w:after="120"/>
        <w:ind w:left="259" w:right="72"/>
        <w:rPr>
          <w:rFonts w:hint="eastAsia" w:ascii="宋体" w:hAnsi="宋体" w:eastAsia="宋体" w:cs="宋体"/>
          <w:sz w:val="24"/>
          <w:szCs w:val="24"/>
        </w:rPr>
      </w:pPr>
      <w:r>
        <w:t>F → Conv1d(1216 → 256, k=1) → F_d</w:t>
        <w:br/>
        <w:t>F_d: [B, 256, R]</w:t>
      </w:r>
    </w:p>
    <w:p w14:paraId="43778B0D">
      <w:pPr>
        <w:spacing w:line="276" w:lineRule="auto"/>
        <w:ind w:firstLine="317"/>
        <w:rPr>
          <w:rFonts w:hint="eastAsia" w:ascii="宋体" w:hAnsi="宋体" w:eastAsia="宋体" w:cs="宋体"/>
          <w:sz w:val="24"/>
          <w:szCs w:val="24"/>
        </w:rPr>
      </w:pPr>
      <w:r>
        <w:t>该 1×1 Conv1d 不观察邻域，只在通道维对 ST-GNN 主干特征、AP 幅相融合特征与 Global 样本级背景特征进行线性融合和降维，得到每个距离单元的当前单元表示 F_d。F_d 一方面用于多尺度局部背景建模，另一方面作为 CUT 特征进入后续比较空间；它不直接产生分类 logits。</w:t>
      </w:r>
    </w:p>
    <w:p w14:paraId="773A9979">
      <w:pPr>
        <w:pStyle w:val="4"/>
        <w:rPr>
          <w:rFonts w:hint="eastAsia" w:ascii="宋体" w:hAnsi="宋体" w:eastAsia="宋体" w:cs="宋体"/>
          <w:sz w:val="24"/>
          <w:szCs w:val="24"/>
        </w:rPr>
      </w:pPr>
      <w:r>
        <w:t>9.3 并行多尺度 Depthwise Conv1d 背景建模</w:t>
      </w:r>
    </w:p>
    <w:p w14:paraId="770CC667">
      <w:pPr>
        <w:pStyle w:val="164"/>
        <w:shd w:val="clear" w:fill="F2F2F2"/>
        <w:spacing w:before="60" w:after="120"/>
        <w:ind w:left="259" w:right="72"/>
        <w:rPr>
          <w:rFonts w:hint="eastAsia" w:ascii="宋体" w:hAnsi="宋体" w:eastAsia="宋体" w:cs="宋体"/>
          <w:sz w:val="24"/>
          <w:szCs w:val="24"/>
        </w:rPr>
      </w:pPr>
      <w:r>
        <w:t>Branch1: Depthwise Conv1d(k=3, groups=256) → H_3</w:t>
        <w:br/>
        <w:t>Branch2: Depthwise Conv1d(k=7, groups=256) → H_7</w:t>
        <w:br/>
        <w:t>Branch3: Depthwise Conv1d(k=15, groups=256) → H_15</w:t>
      </w:r>
    </w:p>
    <w:p w14:paraId="785DC7F2">
      <w:pPr>
        <w:spacing w:line="276" w:lineRule="auto"/>
        <w:ind w:firstLine="317"/>
        <w:rPr>
          <w:rFonts w:hint="eastAsia" w:ascii="宋体" w:hAnsi="宋体" w:eastAsia="宋体" w:cs="宋体"/>
          <w:sz w:val="24"/>
          <w:szCs w:val="24"/>
        </w:rPr>
      </w:pPr>
      <w:r>
        <w:t>Depthwise Conv1d 设置 groups = channels = 256，使每个通道独立估计局部变化，既控制参数量，又对应 CFAR 中利用参考窗估计背景的思想。k=3、k=7、k=15 分别捕获近邻突变、中尺度杂波结构和较宽范围的背景趋势。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2002"/>
        <w:gridCol w:w="2575"/>
        <w:gridCol w:w="4287"/>
      </w:tblGrid>
      <w:tr w14:paraId="0CF8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vAlign w:val="center"/>
          </w:tcPr>
          <w:p w14:paraId="575EF6A5">
            <w:pPr>
              <w:spacing w:after="0" w:line="240" w:lineRule="auto"/>
              <w:jc w:val="center"/>
              <w:rPr>
                <w:rFonts w:hint="eastAsia" w:ascii="宋体" w:hAnsi="宋体" w:eastAsia="宋体" w:cs="宋体"/>
                <w:sz w:val="24"/>
                <w:szCs w:val="24"/>
              </w:rPr>
            </w:pPr>
            <w:r>
              <w:rPr>
                <w:rFonts w:hint="eastAsia" w:ascii="Arial" w:hAnsi="Arial" w:eastAsia="Microsoft YaHei" w:cs="宋体"/>
                <w:b/>
                <w:color w:val="1F4E79"/>
                <w:sz w:val="18"/>
                <w:szCs w:val="24"/>
              </w:rPr>
              <w:t>卷积核</w:t>
            </w:r>
          </w:p>
        </w:tc>
        <w:tc>
          <w:tcPr>
            <w:tcW w:w="2016" w:type="dxa"/>
            <w:shd w:val="clear" w:color="auto" w:fill="D9EAF7"/>
            <w:vAlign w:val="center"/>
          </w:tcPr>
          <w:p w14:paraId="56FE5CEE">
            <w:pPr>
              <w:spacing w:after="0" w:line="240" w:lineRule="auto"/>
              <w:jc w:val="center"/>
              <w:rPr>
                <w:rFonts w:hint="eastAsia" w:ascii="宋体" w:hAnsi="宋体" w:eastAsia="宋体" w:cs="宋体"/>
                <w:sz w:val="24"/>
                <w:szCs w:val="24"/>
              </w:rPr>
            </w:pPr>
            <w:r>
              <w:rPr>
                <w:rFonts w:hint="eastAsia" w:ascii="Arial" w:hAnsi="Arial" w:eastAsia="Microsoft YaHei" w:cs="宋体"/>
                <w:b/>
                <w:color w:val="1F4E79"/>
                <w:sz w:val="18"/>
                <w:szCs w:val="24"/>
              </w:rPr>
              <w:t>感受野</w:t>
            </w:r>
          </w:p>
        </w:tc>
        <w:tc>
          <w:tcPr>
            <w:tcW w:w="2592" w:type="dxa"/>
            <w:shd w:val="clear" w:color="auto" w:fill="D9EAF7"/>
            <w:vAlign w:val="center"/>
          </w:tcPr>
          <w:p w14:paraId="3F78EEA8">
            <w:pPr>
              <w:spacing w:after="0" w:line="240" w:lineRule="auto"/>
              <w:jc w:val="center"/>
              <w:rPr>
                <w:rFonts w:hint="eastAsia" w:ascii="宋体" w:hAnsi="宋体" w:eastAsia="宋体" w:cs="宋体"/>
                <w:sz w:val="24"/>
                <w:szCs w:val="24"/>
              </w:rPr>
            </w:pPr>
            <w:r>
              <w:rPr>
                <w:rFonts w:hint="eastAsia" w:ascii="Arial" w:hAnsi="Arial" w:eastAsia="Microsoft YaHei" w:cs="宋体"/>
                <w:b/>
                <w:color w:val="1F4E79"/>
                <w:sz w:val="18"/>
                <w:szCs w:val="24"/>
              </w:rPr>
              <w:t>类比 CFAR</w:t>
            </w:r>
          </w:p>
        </w:tc>
        <w:tc>
          <w:tcPr>
            <w:tcW w:w="4320" w:type="dxa"/>
            <w:shd w:val="clear" w:color="auto" w:fill="D9EAF7"/>
            <w:vAlign w:val="center"/>
          </w:tcPr>
          <w:p w14:paraId="737985EE">
            <w:pPr>
              <w:spacing w:after="0" w:line="240" w:lineRule="auto"/>
              <w:jc w:val="center"/>
              <w:rPr>
                <w:rFonts w:hint="eastAsia" w:ascii="宋体" w:hAnsi="宋体" w:eastAsia="宋体" w:cs="宋体"/>
                <w:sz w:val="24"/>
                <w:szCs w:val="24"/>
              </w:rPr>
            </w:pPr>
            <w:r>
              <w:rPr>
                <w:rFonts w:hint="eastAsia" w:ascii="Arial" w:hAnsi="Arial" w:eastAsia="Microsoft YaHei" w:cs="宋体"/>
                <w:b/>
                <w:color w:val="1F4E79"/>
                <w:sz w:val="18"/>
                <w:szCs w:val="24"/>
              </w:rPr>
              <w:t>作用</w:t>
            </w:r>
          </w:p>
        </w:tc>
      </w:tr>
      <w:tr w14:paraId="7F92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290F8867">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k=3</w:t>
            </w:r>
          </w:p>
        </w:tc>
        <w:tc>
          <w:tcPr>
            <w:tcW w:w="2016" w:type="dxa"/>
            <w:vAlign w:val="center"/>
          </w:tcPr>
          <w:p w14:paraId="0E03C5B8">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近邻窗口</w:t>
            </w:r>
          </w:p>
        </w:tc>
        <w:tc>
          <w:tcPr>
            <w:tcW w:w="2592" w:type="dxa"/>
            <w:vAlign w:val="center"/>
          </w:tcPr>
          <w:p w14:paraId="4D9759F0">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很近的参考单元</w:t>
            </w:r>
          </w:p>
        </w:tc>
        <w:tc>
          <w:tcPr>
            <w:tcW w:w="4320" w:type="dxa"/>
            <w:vAlign w:val="center"/>
          </w:tcPr>
          <w:p w14:paraId="3E59C34A">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捕获局部突变、小范围尖峰</w:t>
            </w:r>
          </w:p>
        </w:tc>
      </w:tr>
      <w:tr w14:paraId="24D0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23DFF17">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k=7</w:t>
            </w:r>
          </w:p>
        </w:tc>
        <w:tc>
          <w:tcPr>
            <w:tcW w:w="2016" w:type="dxa"/>
            <w:vAlign w:val="center"/>
          </w:tcPr>
          <w:p w14:paraId="5A677D5C">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中尺度窗口</w:t>
            </w:r>
          </w:p>
        </w:tc>
        <w:tc>
          <w:tcPr>
            <w:tcW w:w="2592" w:type="dxa"/>
            <w:vAlign w:val="center"/>
          </w:tcPr>
          <w:p w14:paraId="0B2EB455">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中等参考窗</w:t>
            </w:r>
          </w:p>
        </w:tc>
        <w:tc>
          <w:tcPr>
            <w:tcW w:w="4320" w:type="dxa"/>
            <w:vAlign w:val="center"/>
          </w:tcPr>
          <w:p w14:paraId="79550C6B">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捕获普通局部杂波背景</w:t>
            </w:r>
          </w:p>
        </w:tc>
      </w:tr>
      <w:tr w14:paraId="5AB8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28A3EEB9">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k=15</w:t>
            </w:r>
          </w:p>
        </w:tc>
        <w:tc>
          <w:tcPr>
            <w:tcW w:w="2016" w:type="dxa"/>
            <w:vAlign w:val="center"/>
          </w:tcPr>
          <w:p w14:paraId="2B8486F1">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大尺度窗口</w:t>
            </w:r>
          </w:p>
        </w:tc>
        <w:tc>
          <w:tcPr>
            <w:tcW w:w="2592" w:type="dxa"/>
            <w:vAlign w:val="center"/>
          </w:tcPr>
          <w:p w14:paraId="494B1158">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较宽参考窗</w:t>
            </w:r>
          </w:p>
        </w:tc>
        <w:tc>
          <w:tcPr>
            <w:tcW w:w="4320" w:type="dxa"/>
            <w:vAlign w:val="center"/>
          </w:tcPr>
          <w:p w14:paraId="5360B1BB">
            <w:pPr>
              <w:spacing w:after="0" w:line="240" w:lineRule="auto"/>
              <w:jc w:val="center"/>
              <w:rPr>
                <w:rFonts w:hint="eastAsia" w:ascii="宋体" w:hAnsi="宋体" w:eastAsia="宋体" w:cs="宋体"/>
                <w:sz w:val="24"/>
                <w:szCs w:val="24"/>
              </w:rPr>
            </w:pPr>
            <w:r>
              <w:rPr>
                <w:rFonts w:hint="eastAsia" w:ascii="Arial" w:hAnsi="Arial" w:eastAsia="Microsoft YaHei" w:cs="宋体"/>
                <w:b w:val="0"/>
                <w:sz w:val="18"/>
                <w:szCs w:val="24"/>
              </w:rPr>
              <w:t>捕获更平滑的背景趋势</w:t>
            </w:r>
          </w:p>
        </w:tc>
      </w:tr>
    </w:tbl>
    <w:p w14:paraId="27257685">
      <w:pPr>
        <w:rPr>
          <w:rFonts w:hint="eastAsia" w:ascii="宋体" w:hAnsi="宋体" w:eastAsia="宋体" w:cs="宋体"/>
          <w:sz w:val="24"/>
          <w:szCs w:val="24"/>
        </w:rPr>
      </w:pPr>
      <w:r>
        <w:t>三种窗口共同构成从近邻到较宽范围的多尺度背景参照。</w:t>
      </w:r>
    </w:p>
    <w:p w14:paraId="36F2C041">
      <w:pPr>
        <w:pStyle w:val="4"/>
        <w:rPr>
          <w:rFonts w:hint="eastAsia" w:ascii="宋体" w:hAnsi="宋体" w:eastAsia="宋体" w:cs="宋体"/>
          <w:sz w:val="24"/>
          <w:szCs w:val="24"/>
        </w:rPr>
      </w:pPr>
      <w:r>
        <w:t>9.4 多尺度背景特征与比较空间对齐</w:t>
      </w:r>
    </w:p>
    <w:p w14:paraId="7E0AC8B3">
      <w:pPr>
        <w:spacing w:line="276" w:lineRule="auto"/>
        <w:ind w:firstLine="317"/>
        <w:rPr>
          <w:rFonts w:hint="eastAsia" w:ascii="宋体" w:hAnsi="宋体" w:eastAsia="宋体" w:cs="宋体"/>
          <w:sz w:val="24"/>
          <w:szCs w:val="24"/>
        </w:rPr>
      </w:pPr>
      <w:r>
        <w:t>三个分支均输出 [B, 256, R]，拼接后得到 [B, 768, R]。通过 Conv1d(768 → 512) 与 GELU 融合多尺度局部响应，形成背景上下文 H_ms: [B, 512, R]。由于 F_d 与 H_ms 通道数不同，需要分别投影到统一的 128 通道比较空间。</w:t>
      </w:r>
    </w:p>
    <w:p w14:paraId="41EA6F90">
      <w:pPr>
        <w:pStyle w:val="164"/>
        <w:shd w:val="clear" w:fill="F2F2F2"/>
        <w:spacing w:before="60" w:after="120"/>
        <w:ind w:left="259" w:right="72"/>
        <w:rPr>
          <w:rFonts w:hint="eastAsia" w:ascii="宋体" w:hAnsi="宋体" w:eastAsia="宋体" w:cs="宋体"/>
          <w:sz w:val="24"/>
          <w:szCs w:val="24"/>
        </w:rPr>
      </w:pPr>
      <w:r>
        <w:t>concat([H_3, H_7, H_15]) → [B, 768, R]</w:t>
        <w:br/>
        <w:t>Conv1d(768 → 512) → GELU → H_ms</w:t>
        <w:br/>
        <w:br/>
        <w:t>U_d = GroupNorm(Conv1d(F_d, 256 → 128, k=1), groups=8)</w:t>
        <w:br/>
        <w:t>U_h = GroupNorm(Conv1d(H_ms, 512 → 128, k=1), groups=8)</w:t>
        <w:br/>
        <w:t>U_d, U_h: [B, 128, R]</w:t>
      </w:r>
    </w:p>
    <w:p w14:paraId="5A6AFBA4">
      <w:pPr>
        <w:spacing w:line="276" w:lineRule="auto"/>
        <w:ind w:firstLine="317"/>
        <w:rPr>
          <w:rFonts w:hint="eastAsia" w:ascii="宋体" w:hAnsi="宋体" w:eastAsia="宋体" w:cs="宋体"/>
          <w:sz w:val="24"/>
          <w:szCs w:val="24"/>
        </w:rPr>
      </w:pPr>
      <w:r>
        <w:t>两套投影参数相互独立，以适应当前单元特征和局部背景特征不同的统计分布。GroupNorm 使用 8 个分组，使 U_d 与 U_h 进入可比较的数值尺度，避免后续差异主要由通道尺度不一致造成。</w:t>
      </w:r>
    </w:p>
    <w:p w14:paraId="7C49B08C">
      <w:pPr>
        <w:pStyle w:val="4"/>
        <w:rPr>
          <w:rFonts w:hint="eastAsia" w:ascii="宋体" w:hAnsi="宋体" w:eastAsia="宋体" w:cs="宋体"/>
          <w:sz w:val="24"/>
          <w:szCs w:val="24"/>
        </w:rPr>
      </w:pPr>
      <w:r>
        <w:t>9.5 D_a-only：对数压缩绝对差异判决</w:t>
      </w:r>
    </w:p>
    <w:p w14:paraId="291B0E98">
      <w:pPr>
        <w:pStyle w:val="164"/>
        <w:spacing w:line="276" w:lineRule="auto"/>
        <w:ind w:firstLine="317"/>
        <w:rPr>
          <w:rFonts w:hint="eastAsia" w:ascii="宋体" w:hAnsi="宋体" w:eastAsia="宋体" w:cs="宋体"/>
          <w:sz w:val="24"/>
          <w:szCs w:val="24"/>
        </w:rPr>
      </w:pPr>
      <w:r>
        <w:t>Δ = U_d - U_h</w:t>
        <w:br/>
        <w:t>D_a = log(1 + |Δ|)</w:t>
        <w:br/>
        <w:t>D_a: [B, 128, R]</w:t>
        <w:br/>
        <w:br/>
        <w:t>D_a → Conv1d(128 → 128, k=1)</w:t>
        <w:br/>
        <w:t xml:space="preserve">    → GELU</w:t>
        <w:br/>
        <w:t xml:space="preserve">    → Dropout(0.1)</w:t>
        <w:br/>
        <w:t xml:space="preserve">    → Conv1d(128 → 2, k=1)</w:t>
        <w:br/>
        <w:t xml:space="preserve">    → logits: [B, 2, R]</w:t>
      </w:r>
    </w:p>
    <w:p w14:paraId="26A51FB6">
      <w:pPr>
        <w:pageBreakBefore/>
        <w:rPr>
          <w:rFonts w:hint="eastAsia" w:ascii="宋体" w:hAnsi="宋体" w:eastAsia="宋体" w:cs="宋体"/>
          <w:sz w:val="24"/>
          <w:szCs w:val="24"/>
        </w:rPr>
      </w:pPr>
      <w:r>
        <w:t>D_a 逐通道衡量 CUT 相对于局部背景的异常强度。先计算 Δ=U_d-U_h，再取 |Δ| 去除方向符号，最后通过 D_a=log(1+|Δ|) 进行对数压缩。当 U_d≈U_h 时，Δ≈0，因此 D_a≈0，说明当前单元更符合局部背景；随着 |U_d-U_h| 增大，D_a 单调增大，表示异常证据增强。log(1+·) 能压缩较大的差异响应，避免少数极端通道主导判决，同时对接近 0 的细微差异保持较好的分辨率。D_a 保留 128 个通道上的异常分布，而不是压缩成单一标量。最终不再构造 D_s，也不再拼接 [D_s, D_a]；这与 G3/Da-only 消融结论一致：方向信息在当前低虚警率判决中不是必要的增量信息。D2 与传统 CFAR 的对应关系如下：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9"/>
        <w:gridCol w:w="5927"/>
      </w:tblGrid>
      <w:tr w14:paraId="7105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val="true"/>
        </w:trPr>
        <w:tc>
          <w:tcPr>
            <w:tcW w:w="4464" w:type="dxa"/>
            <w:shd w:val="clear" w:color="auto" w:fill="D9EAF7"/>
            <w:vAlign w:val="center"/>
          </w:tcPr>
          <w:p>
            <w:pPr>
              <w:jc w:val="center"/>
            </w:pPr>
            <w:r>
              <w:rPr>
                <w:rFonts w:ascii="Arial" w:hAnsi="Arial" w:eastAsia="Microsoft YaHei"/>
                <w:b/>
                <w:sz w:val="18"/>
              </w:rPr>
              <w:t>CFAR</w:t>
            </w:r>
          </w:p>
        </w:tc>
        <w:tc>
          <w:tcPr>
            <w:tcW w:w="6048" w:type="dxa"/>
            <w:shd w:val="clear" w:color="auto" w:fill="D9EAF7"/>
            <w:vAlign w:val="center"/>
          </w:tcPr>
          <w:p>
            <w:pPr>
              <w:jc w:val="center"/>
            </w:pPr>
            <w:r>
              <w:rPr>
                <w:rFonts w:ascii="Arial" w:hAnsi="Arial" w:eastAsia="Microsoft YaHei"/>
                <w:b/>
                <w:sz w:val="18"/>
              </w:rPr>
              <w:t>E4-D2 Da-only D2 Head</w:t>
            </w:r>
          </w:p>
        </w:tc>
      </w:tr>
      <w:tr w14:paraId="3CFE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464" w:type="dxa"/>
            <w:vAlign w:val="center"/>
          </w:tcPr>
          <w:p>
            <w:pPr>
              <w:jc w:val="left"/>
            </w:pPr>
            <w:r>
              <w:rPr>
                <w:rFonts w:ascii="Arial" w:hAnsi="Arial" w:eastAsia="Microsoft YaHei"/>
                <w:b w:val="0"/>
                <w:sz w:val="18"/>
              </w:rPr>
              <w:t>CUT 当前检测单元</w:t>
            </w:r>
          </w:p>
        </w:tc>
        <w:tc>
          <w:tcPr>
            <w:tcW w:w="6048" w:type="dxa"/>
            <w:vAlign w:val="center"/>
          </w:tcPr>
          <w:p>
            <w:pPr>
              <w:jc w:val="left"/>
            </w:pPr>
            <w:r>
              <w:rPr>
                <w:rFonts w:ascii="Arial" w:hAnsi="Arial" w:eastAsia="Microsoft YaHei"/>
                <w:b w:val="0"/>
                <w:sz w:val="18"/>
              </w:rPr>
              <w:t>F_d → U_d</w:t>
            </w:r>
          </w:p>
        </w:tc>
      </w:tr>
      <w:tr w14:paraId="2CA9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464" w:type="dxa"/>
            <w:vAlign w:val="center"/>
          </w:tcPr>
          <w:p>
            <w:pPr>
              <w:jc w:val="left"/>
            </w:pPr>
            <w:r>
              <w:rPr>
                <w:rFonts w:ascii="Arial" w:hAnsi="Arial" w:eastAsia="Microsoft YaHei"/>
                <w:b w:val="0"/>
                <w:sz w:val="18"/>
              </w:rPr>
              <w:t>参考单元窗口</w:t>
            </w:r>
          </w:p>
        </w:tc>
        <w:tc>
          <w:tcPr>
            <w:tcW w:w="6048" w:type="dxa"/>
            <w:vAlign w:val="center"/>
          </w:tcPr>
          <w:p>
            <w:pPr>
              <w:jc w:val="left"/>
            </w:pPr>
            <w:r>
              <w:rPr>
                <w:rFonts w:ascii="Arial" w:hAnsi="Arial" w:eastAsia="Microsoft YaHei"/>
                <w:b w:val="0"/>
                <w:sz w:val="18"/>
              </w:rPr>
              <w:t>k=3 / 7 / 15 多尺度 Depthwise Conv1d</w:t>
            </w:r>
          </w:p>
        </w:tc>
      </w:tr>
      <w:tr w14:paraId="502E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464" w:type="dxa"/>
            <w:vAlign w:val="center"/>
          </w:tcPr>
          <w:p>
            <w:pPr>
              <w:jc w:val="left"/>
            </w:pPr>
            <w:r>
              <w:rPr>
                <w:rFonts w:ascii="Arial" w:hAnsi="Arial" w:eastAsia="Microsoft YaHei"/>
                <w:b w:val="0"/>
                <w:sz w:val="18"/>
              </w:rPr>
              <w:t>局部背景估计</w:t>
            </w:r>
          </w:p>
        </w:tc>
        <w:tc>
          <w:tcPr>
            <w:tcW w:w="6048" w:type="dxa"/>
            <w:vAlign w:val="center"/>
          </w:tcPr>
          <w:p>
            <w:pPr>
              <w:jc w:val="left"/>
            </w:pPr>
            <w:r>
              <w:rPr>
                <w:rFonts w:ascii="Arial" w:hAnsi="Arial" w:eastAsia="Microsoft YaHei"/>
                <w:b w:val="0"/>
                <w:sz w:val="18"/>
              </w:rPr>
              <w:t>H_ms → U_h</w:t>
            </w:r>
          </w:p>
        </w:tc>
      </w:tr>
      <w:tr w14:paraId="7BFF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464" w:type="dxa"/>
            <w:vAlign w:val="center"/>
          </w:tcPr>
          <w:p>
            <w:pPr>
              <w:jc w:val="left"/>
            </w:pPr>
            <w:r>
              <w:rPr>
                <w:rFonts w:ascii="Arial" w:hAnsi="Arial" w:eastAsia="Microsoft YaHei"/>
                <w:b w:val="0"/>
                <w:sz w:val="18"/>
              </w:rPr>
              <w:t>CUT–背景比较</w:t>
            </w:r>
          </w:p>
        </w:tc>
        <w:tc>
          <w:tcPr>
            <w:tcW w:w="6048" w:type="dxa"/>
            <w:vAlign w:val="center"/>
          </w:tcPr>
          <w:p>
            <w:pPr>
              <w:jc w:val="left"/>
            </w:pPr>
            <w:r>
              <w:rPr>
                <w:rFonts w:ascii="Arial" w:hAnsi="Arial" w:eastAsia="Microsoft YaHei"/>
                <w:b w:val="0"/>
                <w:sz w:val="18"/>
              </w:rPr>
              <w:t>Δ = U_d - U_h</w:t>
            </w:r>
          </w:p>
        </w:tc>
      </w:tr>
      <w:tr w14:paraId="5846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464" w:type="dxa"/>
            <w:vAlign w:val="center"/>
          </w:tcPr>
          <w:p>
            <w:pPr>
              <w:jc w:val="left"/>
            </w:pPr>
            <w:r>
              <w:t>对数压缩绝对异常度量</w:t>
            </w:r>
          </w:p>
        </w:tc>
        <w:tc>
          <w:tcPr>
            <w:tcW w:w="6048" w:type="dxa"/>
            <w:vAlign w:val="center"/>
          </w:tcPr>
          <w:p>
            <w:pPr>
              <w:jc w:val="left"/>
            </w:pPr>
            <w:r>
              <w:t>D_a = log(1 + |Δ|)</w:t>
            </w:r>
          </w:p>
        </w:tc>
      </w:tr>
      <w:tr w14:paraId="7989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464" w:type="dxa"/>
            <w:vAlign w:val="center"/>
          </w:tcPr>
          <w:p>
            <w:pPr>
              <w:jc w:val="left"/>
            </w:pPr>
            <w:r>
              <w:rPr>
                <w:rFonts w:ascii="Arial" w:hAnsi="Arial" w:eastAsia="Microsoft YaHei"/>
                <w:b w:val="0"/>
                <w:sz w:val="18"/>
              </w:rPr>
              <w:t>固定阈值/统计判决</w:t>
            </w:r>
          </w:p>
        </w:tc>
        <w:tc>
          <w:tcPr>
            <w:tcW w:w="6048" w:type="dxa"/>
            <w:vAlign w:val="center"/>
          </w:tcPr>
          <w:p>
            <w:pPr>
              <w:jc w:val="left"/>
            </w:pPr>
            <w:r>
              <w:rPr>
                <w:rFonts w:ascii="Arial" w:hAnsi="Arial" w:eastAsia="Microsoft YaHei"/>
                <w:b w:val="0"/>
                <w:sz w:val="18"/>
              </w:rPr>
              <w:t>可学习 Da-only 分类器</w:t>
            </w:r>
          </w:p>
        </w:tc>
      </w:tr>
      <w:tr>
        <w:trPr>
          <w:cantSplit/>
        </w:trPr>
        <w:tc>
          <w:tcPr>
            <w:tcW w:type="dxa" w:w="4369"/>
            <w:vAlign w:val="center"/>
          </w:tcPr>
          <w:p>
            <w:pPr>
              <w:jc w:val="left"/>
            </w:pPr>
            <w:r>
              <w:rPr>
                <w:rFonts w:ascii="Arial" w:hAnsi="Arial" w:eastAsia="Microsoft YaHei"/>
                <w:b w:val="0"/>
                <w:sz w:val="18"/>
              </w:rPr>
              <w:t>人工规则</w:t>
            </w:r>
          </w:p>
        </w:tc>
        <w:tc>
          <w:tcPr>
            <w:tcW w:type="dxa" w:w="5927"/>
            <w:vAlign w:val="center"/>
          </w:tcPr>
          <w:p>
            <w:pPr>
              <w:jc w:val="left"/>
            </w:pPr>
            <w:r>
              <w:t>数据驱动的通道级对数绝对差异判决</w:t>
            </w:r>
          </w:p>
        </w:tc>
      </w:tr>
    </w:tbl>
    <w:p w14:paraId="25A4F5FD">
      <w:pPr>
        <w:pStyle w:val="3"/>
        <w:rPr>
          <w:rFonts w:hint="eastAsia" w:ascii="宋体" w:hAnsi="宋体" w:eastAsia="宋体" w:cs="宋体"/>
          <w:sz w:val="24"/>
          <w:szCs w:val="24"/>
        </w:rPr>
      </w:pPr>
      <w:r>
        <w:rPr>
          <w:rFonts w:hint="eastAsia" w:ascii="宋体" w:hAnsi="宋体" w:eastAsia="宋体" w:cs="宋体"/>
          <w:sz w:val="24"/>
          <w:szCs w:val="24"/>
        </w:rPr>
        <w:t>10. E4-D2 的完整数据流</w:t>
      </w:r>
    </w:p>
    <w:p w14:paraId="0887B27E">
      <w:pPr>
        <w:pStyle w:val="164"/>
        <w:shd w:val="clear" w:fill="F2F2F2"/>
        <w:spacing w:before="60" w:after="120"/>
        <w:ind w:left="259" w:right="72"/>
        <w:rPr>
          <w:rFonts w:hint="eastAsia" w:ascii="宋体" w:hAnsi="宋体" w:eastAsia="宋体" w:cs="宋体"/>
          <w:sz w:val="24"/>
          <w:szCs w:val="24"/>
        </w:rPr>
      </w:pPr>
      <w:r>
        <w:t>Input A:</w:t>
        <w:br/>
        <w:t>[I/P99, Q/P99, PL_raw, RPH/P99]</w:t>
        <w:br/>
        <w:t>↓</w:t>
        <w:br/>
        <w:t>ST-GNN Backbone</w:t>
        <w:br/>
        <w:t>↓</w:t>
        <w:br/>
        <w:t>F_main: 1024ch</w:t>
        <w:br/>
        <w:br/>
        <w:t>Input B:</w:t>
        <w:br/>
        <w:t>[temporal_mean, temporal_std, phase_stability]</w:t>
        <w:br/>
        <w:t>↓</w:t>
        <w:br/>
        <w:t>PhaseEncoder</w:t>
        <w:br/>
        <w:t>↓</w:t>
        <w:br/>
        <w:t>F_phase: 128ch → C/S phase direction</w:t>
        <w:br/>
        <w:br/>
        <w:t>Input C:</w:t>
        <w:br/>
        <w:t>[amp_map, amp_cell]</w:t>
        <w:br/>
        <w:t>↓</w:t>
        <w:br/>
        <w:t>AmpEncoder</w:t>
        <w:br/>
        <w:t>↓</w:t>
        <w:br/>
        <w:t>F_amp: 64ch → A amplitude modulation</w:t>
        <w:br/>
        <w:br/>
        <w:t>F_amp + F_phase</w:t>
        <w:br/>
        <w:t>↓</w:t>
        <w:br/>
        <w:t>Full CVOCA:</w:t>
        <w:br/>
        <w:t>A = softplus(proj(F_amp))</w:t>
        <w:br/>
        <w:t>[C,S] = L2_norm(...)</w:t>
        <w:br/>
        <w:t>Z_real = A·C</w:t>
        <w:br/>
        <w:t>Z_imag = A·S</w:t>
        <w:br/>
        <w:t>ComplexConv → |Y|</w:t>
        <w:br/>
        <w:t>Concat [Y_real, Y_imag, |Y|] → Conv1d</w:t>
        <w:br/>
        <w:t>↓</w:t>
        <w:br/>
        <w:t>F_AP: 64ch</w:t>
        <w:br/>
        <w:br/>
        <w:t>Input D:</w:t>
        <w:br/>
        <w:t>[global_6ch]</w:t>
        <w:br/>
        <w:t>↓</w:t>
        <w:br/>
        <w:t>Global MLP</w:t>
        <w:br/>
        <w:t>↓</w:t>
        <w:br/>
        <w:t>G_broadcast: 128ch</w:t>
        <w:br/>
        <w:br/>
        <w:t>concat([F_main, F_AP, G_broadcast])</w:t>
        <w:br/>
        <w:t>↓</w:t>
        <w:br/>
        <w:t>F: 1216ch</w:t>
        <w:br/>
        <w:t>↓</w:t>
        <w:br/>
        <w:t>Conv1d(1216 → 256, k=1)</w:t>
        <w:br/>
        <w:t>↓</w:t>
        <w:br/>
        <w:t>F_d: 256ch</w:t>
        <w:br/>
        <w:t>├─→ Proj_d: Conv1d(256 → 128) → GroupNorm(8) → U_d</w:t>
        <w:br/>
        <w:t>└─→ Parallel Depthwise Conv1d(k=3 / 7 / 15)</w:t>
        <w:br/>
        <w:t xml:space="preserve">     ↓</w:t>
        <w:br/>
        <w:t xml:space="preserve">     concat → 768ch</w:t>
        <w:br/>
        <w:t xml:space="preserve">     ↓</w:t>
        <w:br/>
        <w:t xml:space="preserve">     Conv1d(768 → 512) → GELU</w:t>
        <w:br/>
        <w:t xml:space="preserve">     ↓</w:t>
        <w:br/>
        <w:t xml:space="preserve">     H_ms: 512ch</w:t>
        <w:br/>
        <w:t xml:space="preserve">     ↓</w:t>
        <w:br/>
        <w:t xml:space="preserve">     Proj_h: Conv1d(512 → 128) → GroupNorm(8) → U_h</w:t>
        <w:br/>
        <w:br/>
        <w:t>Δ = U_d - U_h</w:t>
        <w:br/>
        <w:t>↓</w:t>
        <w:br/>
        <w:t>D_a = log(1 + |Δ|)</w:t>
        <w:br/>
        <w:t>↓</w:t>
        <w:br/>
        <w:t>Conv1d(128 → 128) → GELU → Dropout(0.1) → Conv1d(128 → 2)</w:t>
        <w:br/>
        <w:t>↓</w:t>
        <w:br/>
        <w:t>Per-range-cell logits: target / clutter</w:t>
      </w:r>
    </w:p>
    <w:p w14:paraId="3DBAD88E">
      <w:pPr>
        <w:pStyle w:val="3"/>
        <w:pageBreakBefore/>
        <w:rPr>
          <w:rFonts w:hint="eastAsia" w:ascii="宋体" w:hAnsi="宋体" w:eastAsia="宋体" w:cs="宋体"/>
          <w:sz w:val="24"/>
          <w:szCs w:val="24"/>
        </w:rPr>
      </w:pPr>
      <w:r>
        <w:rPr>
          <w:rFonts w:hint="eastAsia" w:ascii="宋体" w:hAnsi="宋体" w:eastAsia="宋体" w:cs="宋体"/>
          <w:sz w:val="24"/>
          <w:szCs w:val="24"/>
        </w:rPr>
        <w:t>11. 各模块作用汇总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1"/>
        <w:gridCol w:w="2444"/>
        <w:gridCol w:w="1915"/>
        <w:gridCol w:w="3476"/>
      </w:tblGrid>
      <w:tr w14:paraId="5F04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val="true"/>
        </w:trPr>
        <w:tc>
          <w:tcPr>
            <w:tcW w:w="2592" w:type="dxa"/>
            <w:shd w:val="clear" w:color="auto" w:fill="D9EAF7"/>
            <w:vAlign w:val="center"/>
          </w:tcPr>
          <w:p>
            <w:pPr>
              <w:jc w:val="center"/>
            </w:pPr>
            <w:r>
              <w:rPr>
                <w:rFonts w:ascii="Arial" w:hAnsi="Arial" w:eastAsia="Microsoft YaHei"/>
                <w:b/>
                <w:sz w:val="18"/>
              </w:rPr>
              <w:t>模块</w:t>
            </w:r>
          </w:p>
        </w:tc>
        <w:tc>
          <w:tcPr>
            <w:tcW w:w="2592" w:type="dxa"/>
            <w:shd w:val="clear" w:color="auto" w:fill="D9EAF7"/>
            <w:vAlign w:val="center"/>
          </w:tcPr>
          <w:p>
            <w:pPr>
              <w:jc w:val="center"/>
            </w:pPr>
            <w:r>
              <w:rPr>
                <w:rFonts w:ascii="Arial" w:hAnsi="Arial" w:eastAsia="Microsoft YaHei"/>
                <w:b/>
                <w:sz w:val="18"/>
              </w:rPr>
              <w:t>输入</w:t>
            </w:r>
          </w:p>
        </w:tc>
        <w:tc>
          <w:tcPr>
            <w:tcW w:w="2016" w:type="dxa"/>
            <w:shd w:val="clear" w:color="auto" w:fill="D9EAF7"/>
            <w:vAlign w:val="center"/>
          </w:tcPr>
          <w:p>
            <w:pPr>
              <w:jc w:val="center"/>
            </w:pPr>
            <w:r>
              <w:rPr>
                <w:rFonts w:ascii="Arial" w:hAnsi="Arial" w:eastAsia="Microsoft YaHei"/>
                <w:b/>
                <w:sz w:val="18"/>
              </w:rPr>
              <w:t>输出</w:t>
            </w:r>
          </w:p>
        </w:tc>
        <w:tc>
          <w:tcPr>
            <w:tcW w:w="3888" w:type="dxa"/>
            <w:shd w:val="clear" w:color="auto" w:fill="D9EAF7"/>
            <w:vAlign w:val="center"/>
          </w:tcPr>
          <w:p>
            <w:pPr>
              <w:jc w:val="center"/>
            </w:pPr>
            <w:r>
              <w:rPr>
                <w:rFonts w:ascii="Arial" w:hAnsi="Arial" w:eastAsia="Microsoft YaHei"/>
                <w:b/>
                <w:sz w:val="18"/>
              </w:rPr>
              <w:t>核心作用</w:t>
            </w:r>
          </w:p>
        </w:tc>
      </w:tr>
      <w:tr w14:paraId="4017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ST-GNN Backbone</w:t>
            </w:r>
          </w:p>
        </w:tc>
        <w:tc>
          <w:tcPr>
            <w:tcW w:w="2592" w:type="dxa"/>
            <w:vAlign w:val="center"/>
          </w:tcPr>
          <w:p>
            <w:pPr>
              <w:jc w:val="left"/>
            </w:pPr>
            <w:r>
              <w:rPr>
                <w:rFonts w:ascii="Arial" w:hAnsi="Arial" w:eastAsia="Microsoft YaHei"/>
                <w:b w:val="0"/>
                <w:sz w:val="18"/>
              </w:rPr>
              <w:t>4ch I/Q+PL/RPH</w:t>
            </w:r>
          </w:p>
        </w:tc>
        <w:tc>
          <w:tcPr>
            <w:tcW w:w="2016" w:type="dxa"/>
            <w:vAlign w:val="center"/>
          </w:tcPr>
          <w:p>
            <w:pPr>
              <w:jc w:val="left"/>
            </w:pPr>
            <w:r>
              <w:rPr>
                <w:rFonts w:ascii="Arial" w:hAnsi="Arial" w:eastAsia="Microsoft YaHei"/>
                <w:b w:val="0"/>
                <w:sz w:val="18"/>
              </w:rPr>
              <w:t>1024ch</w:t>
            </w:r>
          </w:p>
        </w:tc>
        <w:tc>
          <w:tcPr>
            <w:tcW w:w="3888" w:type="dxa"/>
            <w:vAlign w:val="center"/>
          </w:tcPr>
          <w:p>
            <w:pPr>
              <w:jc w:val="left"/>
            </w:pPr>
            <w:r>
              <w:rPr>
                <w:rFonts w:ascii="Arial" w:hAnsi="Arial" w:eastAsia="Microsoft YaHei"/>
                <w:b w:val="0"/>
                <w:sz w:val="18"/>
              </w:rPr>
              <w:t>提取主时空检测特征</w:t>
            </w:r>
          </w:p>
        </w:tc>
      </w:tr>
      <w:tr w14:paraId="25305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PhaseEncoder</w:t>
            </w:r>
          </w:p>
        </w:tc>
        <w:tc>
          <w:tcPr>
            <w:tcW w:w="2592" w:type="dxa"/>
            <w:vAlign w:val="center"/>
          </w:tcPr>
          <w:p>
            <w:pPr>
              <w:jc w:val="left"/>
            </w:pPr>
            <w:r>
              <w:rPr>
                <w:rFonts w:ascii="Arial" w:hAnsi="Arial" w:eastAsia="Microsoft YaHei"/>
                <w:b w:val="0"/>
                <w:sz w:val="18"/>
              </w:rPr>
              <w:t>3ch 相位统计</w:t>
            </w:r>
          </w:p>
        </w:tc>
        <w:tc>
          <w:tcPr>
            <w:tcW w:w="2016" w:type="dxa"/>
            <w:vAlign w:val="center"/>
          </w:tcPr>
          <w:p>
            <w:pPr>
              <w:jc w:val="left"/>
            </w:pPr>
            <w:r>
              <w:rPr>
                <w:rFonts w:ascii="Arial" w:hAnsi="Arial" w:eastAsia="Microsoft YaHei"/>
                <w:b w:val="0"/>
                <w:sz w:val="18"/>
              </w:rPr>
              <w:t>128ch</w:t>
            </w:r>
          </w:p>
        </w:tc>
        <w:tc>
          <w:tcPr>
            <w:tcW w:w="3888" w:type="dxa"/>
            <w:vAlign w:val="center"/>
          </w:tcPr>
          <w:p>
            <w:pPr>
              <w:jc w:val="left"/>
            </w:pPr>
            <w:r>
              <w:rPr>
                <w:rFonts w:ascii="Arial" w:hAnsi="Arial" w:eastAsia="Microsoft YaHei"/>
                <w:b w:val="0"/>
                <w:sz w:val="18"/>
              </w:rPr>
              <w:t>提取相干性、相位稳定性</w:t>
            </w:r>
          </w:p>
        </w:tc>
      </w:tr>
      <w:tr w14:paraId="6A2C1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AmpEncoder</w:t>
            </w:r>
          </w:p>
        </w:tc>
        <w:tc>
          <w:tcPr>
            <w:tcW w:w="2592" w:type="dxa"/>
            <w:vAlign w:val="center"/>
          </w:tcPr>
          <w:p>
            <w:pPr>
              <w:jc w:val="left"/>
            </w:pPr>
            <w:r>
              <w:rPr>
                <w:rFonts w:ascii="Arial" w:hAnsi="Arial" w:eastAsia="Microsoft YaHei"/>
                <w:b w:val="0"/>
                <w:sz w:val="18"/>
              </w:rPr>
              <w:t>amp_map + amp_cell</w:t>
            </w:r>
          </w:p>
        </w:tc>
        <w:tc>
          <w:tcPr>
            <w:tcW w:w="2016" w:type="dxa"/>
            <w:vAlign w:val="center"/>
          </w:tcPr>
          <w:p>
            <w:pPr>
              <w:jc w:val="left"/>
            </w:pPr>
            <w:r>
              <w:rPr>
                <w:rFonts w:ascii="Arial" w:hAnsi="Arial" w:eastAsia="Microsoft YaHei"/>
                <w:b w:val="0"/>
                <w:sz w:val="18"/>
              </w:rPr>
              <w:t>64ch</w:t>
            </w:r>
          </w:p>
        </w:tc>
        <w:tc>
          <w:tcPr>
            <w:tcW w:w="3888" w:type="dxa"/>
            <w:vAlign w:val="center"/>
          </w:tcPr>
          <w:p>
            <w:pPr>
              <w:jc w:val="left"/>
            </w:pPr>
            <w:r>
              <w:rPr>
                <w:rFonts w:ascii="Arial" w:hAnsi="Arial" w:eastAsia="Microsoft YaHei"/>
                <w:b w:val="0"/>
                <w:sz w:val="18"/>
              </w:rPr>
              <w:t>提供幅度调制强度</w:t>
            </w:r>
          </w:p>
        </w:tc>
      </w:tr>
      <w:tr w14:paraId="3259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Full CVOCA</w:t>
            </w:r>
          </w:p>
        </w:tc>
        <w:tc>
          <w:tcPr>
            <w:tcW w:w="2592" w:type="dxa"/>
            <w:vAlign w:val="center"/>
          </w:tcPr>
          <w:p>
            <w:pPr>
              <w:jc w:val="left"/>
            </w:pPr>
            <w:r>
              <w:rPr>
                <w:rFonts w:ascii="Arial" w:hAnsi="Arial" w:eastAsia="Microsoft YaHei"/>
                <w:b w:val="0"/>
                <w:sz w:val="18"/>
              </w:rPr>
              <w:t>F_amp, F_phase</w:t>
            </w:r>
          </w:p>
        </w:tc>
        <w:tc>
          <w:tcPr>
            <w:tcW w:w="2016" w:type="dxa"/>
            <w:vAlign w:val="center"/>
          </w:tcPr>
          <w:p>
            <w:pPr>
              <w:jc w:val="left"/>
            </w:pPr>
            <w:r>
              <w:rPr>
                <w:rFonts w:ascii="Arial" w:hAnsi="Arial" w:eastAsia="Microsoft YaHei"/>
                <w:b w:val="0"/>
                <w:sz w:val="18"/>
              </w:rPr>
              <w:t>64ch</w:t>
            </w:r>
          </w:p>
        </w:tc>
        <w:tc>
          <w:tcPr>
            <w:tcW w:w="3888" w:type="dxa"/>
            <w:vAlign w:val="center"/>
          </w:tcPr>
          <w:p>
            <w:pPr>
              <w:jc w:val="left"/>
            </w:pPr>
            <w:r>
              <w:rPr>
                <w:rFonts w:ascii="Arial" w:hAnsi="Arial" w:eastAsia="Microsoft YaHei"/>
                <w:b w:val="0"/>
                <w:sz w:val="18"/>
              </w:rPr>
              <w:t>幅度–相位极坐标复值融合</w:t>
            </w:r>
          </w:p>
        </w:tc>
      </w:tr>
      <w:tr w14:paraId="27E3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Global MLP</w:t>
            </w:r>
          </w:p>
        </w:tc>
        <w:tc>
          <w:tcPr>
            <w:tcW w:w="2592" w:type="dxa"/>
            <w:vAlign w:val="center"/>
          </w:tcPr>
          <w:p>
            <w:pPr>
              <w:jc w:val="left"/>
            </w:pPr>
            <w:r>
              <w:rPr>
                <w:rFonts w:ascii="Arial" w:hAnsi="Arial" w:eastAsia="Microsoft YaHei"/>
                <w:b w:val="0"/>
                <w:sz w:val="18"/>
              </w:rPr>
              <w:t>global_6ch</w:t>
            </w:r>
          </w:p>
        </w:tc>
        <w:tc>
          <w:tcPr>
            <w:tcW w:w="2016" w:type="dxa"/>
            <w:vAlign w:val="center"/>
          </w:tcPr>
          <w:p>
            <w:pPr>
              <w:jc w:val="left"/>
            </w:pPr>
            <w:r>
              <w:rPr>
                <w:rFonts w:ascii="Arial" w:hAnsi="Arial" w:eastAsia="Microsoft YaHei"/>
                <w:b w:val="0"/>
                <w:sz w:val="18"/>
              </w:rPr>
              <w:t>128ch broadcast</w:t>
            </w:r>
          </w:p>
        </w:tc>
        <w:tc>
          <w:tcPr>
            <w:tcW w:w="3888" w:type="dxa"/>
            <w:vAlign w:val="center"/>
          </w:tcPr>
          <w:p>
            <w:pPr>
              <w:jc w:val="left"/>
            </w:pPr>
            <w:r>
              <w:rPr>
                <w:rFonts w:ascii="Arial" w:hAnsi="Arial" w:eastAsia="Microsoft YaHei"/>
                <w:b w:val="0"/>
                <w:sz w:val="18"/>
              </w:rPr>
              <w:t>提供样本级背景尺度</w:t>
            </w:r>
          </w:p>
        </w:tc>
      </w:tr>
      <w:tr w14:paraId="05A1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Concat</w:t>
            </w:r>
          </w:p>
        </w:tc>
        <w:tc>
          <w:tcPr>
            <w:tcW w:w="2592" w:type="dxa"/>
            <w:vAlign w:val="center"/>
          </w:tcPr>
          <w:p>
            <w:pPr>
              <w:jc w:val="left"/>
            </w:pPr>
            <w:r>
              <w:rPr>
                <w:rFonts w:ascii="Arial" w:hAnsi="Arial" w:eastAsia="Microsoft YaHei"/>
                <w:b w:val="0"/>
                <w:sz w:val="18"/>
              </w:rPr>
              <w:t>1024+64+128</w:t>
            </w:r>
          </w:p>
        </w:tc>
        <w:tc>
          <w:tcPr>
            <w:tcW w:w="2016" w:type="dxa"/>
            <w:vAlign w:val="center"/>
          </w:tcPr>
          <w:p>
            <w:pPr>
              <w:jc w:val="left"/>
            </w:pPr>
            <w:r>
              <w:rPr>
                <w:rFonts w:ascii="Arial" w:hAnsi="Arial" w:eastAsia="Microsoft YaHei"/>
                <w:b w:val="0"/>
                <w:sz w:val="18"/>
              </w:rPr>
              <w:t>1216ch</w:t>
            </w:r>
          </w:p>
        </w:tc>
        <w:tc>
          <w:tcPr>
            <w:tcW w:w="3888" w:type="dxa"/>
            <w:vAlign w:val="center"/>
          </w:tcPr>
          <w:p>
            <w:pPr>
              <w:jc w:val="left"/>
            </w:pPr>
            <w:r>
              <w:rPr>
                <w:rFonts w:ascii="Arial" w:hAnsi="Arial" w:eastAsia="Microsoft YaHei"/>
                <w:b w:val="0"/>
                <w:sz w:val="18"/>
              </w:rPr>
              <w:t>融合主干、AP、全局信息</w:t>
            </w:r>
          </w:p>
        </w:tc>
      </w:tr>
      <w:tr w14:paraId="43859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Conv1d k=1</w:t>
            </w:r>
          </w:p>
        </w:tc>
        <w:tc>
          <w:tcPr>
            <w:tcW w:w="2592" w:type="dxa"/>
            <w:vAlign w:val="center"/>
          </w:tcPr>
          <w:p>
            <w:pPr>
              <w:jc w:val="left"/>
            </w:pPr>
            <w:r>
              <w:rPr>
                <w:rFonts w:ascii="Arial" w:hAnsi="Arial" w:eastAsia="Microsoft YaHei"/>
                <w:b w:val="0"/>
                <w:sz w:val="18"/>
              </w:rPr>
              <w:t>1216ch</w:t>
            </w:r>
          </w:p>
        </w:tc>
        <w:tc>
          <w:tcPr>
            <w:tcW w:w="2016" w:type="dxa"/>
            <w:vAlign w:val="center"/>
          </w:tcPr>
          <w:p>
            <w:pPr>
              <w:jc w:val="left"/>
            </w:pPr>
            <w:r>
              <w:rPr>
                <w:rFonts w:ascii="Arial" w:hAnsi="Arial" w:eastAsia="Microsoft YaHei"/>
                <w:b w:val="0"/>
                <w:sz w:val="18"/>
              </w:rPr>
              <w:t>F_d: 256ch</w:t>
            </w:r>
          </w:p>
        </w:tc>
        <w:tc>
          <w:tcPr>
            <w:tcW w:w="3888" w:type="dxa"/>
            <w:vAlign w:val="center"/>
          </w:tcPr>
          <w:p>
            <w:pPr>
              <w:jc w:val="left"/>
            </w:pPr>
            <w:r>
              <w:rPr>
                <w:rFonts w:ascii="Arial" w:hAnsi="Arial" w:eastAsia="Microsoft YaHei"/>
                <w:b w:val="0"/>
                <w:sz w:val="18"/>
              </w:rPr>
              <w:t>降维、通道融合，得到当前检测单元特征</w:t>
            </w:r>
          </w:p>
        </w:tc>
      </w:tr>
      <w:tr w14:paraId="4A02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DWConv k=3/7/15</w:t>
            </w:r>
          </w:p>
        </w:tc>
        <w:tc>
          <w:tcPr>
            <w:tcW w:w="2592" w:type="dxa"/>
            <w:vAlign w:val="center"/>
          </w:tcPr>
          <w:p>
            <w:pPr>
              <w:jc w:val="left"/>
            </w:pPr>
            <w:r>
              <w:rPr>
                <w:rFonts w:ascii="Arial" w:hAnsi="Arial" w:eastAsia="Microsoft YaHei"/>
                <w:b w:val="0"/>
                <w:sz w:val="18"/>
              </w:rPr>
              <w:t>F_d: 256ch</w:t>
            </w:r>
          </w:p>
        </w:tc>
        <w:tc>
          <w:tcPr>
            <w:tcW w:w="2016" w:type="dxa"/>
            <w:vAlign w:val="center"/>
          </w:tcPr>
          <w:p>
            <w:pPr>
              <w:jc w:val="left"/>
            </w:pPr>
            <w:r>
              <w:rPr>
                <w:rFonts w:ascii="Arial" w:hAnsi="Arial" w:eastAsia="Microsoft YaHei"/>
                <w:b w:val="0"/>
                <w:sz w:val="18"/>
              </w:rPr>
              <w:t>3×256ch</w:t>
            </w:r>
          </w:p>
        </w:tc>
        <w:tc>
          <w:tcPr>
            <w:tcW w:w="3888" w:type="dxa"/>
            <w:vAlign w:val="center"/>
          </w:tcPr>
          <w:p>
            <w:pPr>
              <w:jc w:val="left"/>
            </w:pPr>
            <w:r>
              <w:rPr>
                <w:rFonts w:ascii="Arial" w:hAnsi="Arial" w:eastAsia="Microsoft YaHei"/>
                <w:b w:val="0"/>
                <w:sz w:val="18"/>
              </w:rPr>
              <w:t>多尺度估计局部杂波上下文</w:t>
            </w:r>
          </w:p>
        </w:tc>
      </w:tr>
      <w:tr w14:paraId="08F4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Concat + Conv1d + GELU</w:t>
            </w:r>
          </w:p>
        </w:tc>
        <w:tc>
          <w:tcPr>
            <w:tcW w:w="2592" w:type="dxa"/>
            <w:vAlign w:val="center"/>
          </w:tcPr>
          <w:p>
            <w:pPr>
              <w:jc w:val="left"/>
            </w:pPr>
            <w:r>
              <w:rPr>
                <w:rFonts w:ascii="Arial" w:hAnsi="Arial" w:eastAsia="Microsoft YaHei"/>
                <w:b w:val="0"/>
                <w:sz w:val="18"/>
              </w:rPr>
              <w:t>3×256ch</w:t>
            </w:r>
          </w:p>
        </w:tc>
        <w:tc>
          <w:tcPr>
            <w:tcW w:w="2016" w:type="dxa"/>
            <w:vAlign w:val="center"/>
          </w:tcPr>
          <w:p>
            <w:pPr>
              <w:jc w:val="left"/>
            </w:pPr>
            <w:r>
              <w:rPr>
                <w:rFonts w:ascii="Arial" w:hAnsi="Arial" w:eastAsia="Microsoft YaHei"/>
                <w:b w:val="0"/>
                <w:sz w:val="18"/>
              </w:rPr>
              <w:t>H_ms: 512ch</w:t>
            </w:r>
          </w:p>
        </w:tc>
        <w:tc>
          <w:tcPr>
            <w:tcW w:w="3888" w:type="dxa"/>
            <w:vAlign w:val="center"/>
          </w:tcPr>
          <w:p>
            <w:pPr>
              <w:jc w:val="left"/>
            </w:pPr>
            <w:r>
              <w:rPr>
                <w:rFonts w:ascii="Arial" w:hAnsi="Arial" w:eastAsia="Microsoft YaHei"/>
                <w:b w:val="0"/>
                <w:sz w:val="18"/>
              </w:rPr>
              <w:t>融合多尺度响应，形成背景上下文</w:t>
            </w:r>
          </w:p>
        </w:tc>
      </w:tr>
      <w:tr w14:paraId="01B3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Proj_d + GroupNorm(8)</w:t>
            </w:r>
          </w:p>
        </w:tc>
        <w:tc>
          <w:tcPr>
            <w:tcW w:w="2592" w:type="dxa"/>
            <w:vAlign w:val="center"/>
          </w:tcPr>
          <w:p>
            <w:pPr>
              <w:jc w:val="left"/>
            </w:pPr>
            <w:r>
              <w:rPr>
                <w:rFonts w:ascii="Arial" w:hAnsi="Arial" w:eastAsia="Microsoft YaHei"/>
                <w:b w:val="0"/>
                <w:sz w:val="18"/>
              </w:rPr>
              <w:t>F_d: 256ch</w:t>
            </w:r>
          </w:p>
        </w:tc>
        <w:tc>
          <w:tcPr>
            <w:tcW w:w="2016" w:type="dxa"/>
            <w:vAlign w:val="center"/>
          </w:tcPr>
          <w:p>
            <w:pPr>
              <w:jc w:val="left"/>
            </w:pPr>
            <w:r>
              <w:rPr>
                <w:rFonts w:ascii="Arial" w:hAnsi="Arial" w:eastAsia="Microsoft YaHei"/>
                <w:b w:val="0"/>
                <w:sz w:val="18"/>
              </w:rPr>
              <w:t>U_d: 128ch</w:t>
            </w:r>
          </w:p>
        </w:tc>
        <w:tc>
          <w:tcPr>
            <w:tcW w:w="3888" w:type="dxa"/>
            <w:vAlign w:val="center"/>
          </w:tcPr>
          <w:p>
            <w:pPr>
              <w:jc w:val="left"/>
            </w:pPr>
            <w:r>
              <w:rPr>
                <w:rFonts w:ascii="Arial" w:hAnsi="Arial" w:eastAsia="Microsoft YaHei"/>
                <w:b w:val="0"/>
                <w:sz w:val="18"/>
              </w:rPr>
              <w:t>将 CUT 投影到统一比较空间</w:t>
            </w:r>
          </w:p>
        </w:tc>
      </w:tr>
      <w:tr w14:paraId="7BFA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rPr>
                <w:rFonts w:ascii="Arial" w:hAnsi="Arial" w:eastAsia="Microsoft YaHei"/>
                <w:b w:val="0"/>
                <w:sz w:val="18"/>
              </w:rPr>
              <w:t>Proj_h + GroupNorm(8)</w:t>
            </w:r>
          </w:p>
        </w:tc>
        <w:tc>
          <w:tcPr>
            <w:tcW w:w="2592" w:type="dxa"/>
            <w:vAlign w:val="center"/>
          </w:tcPr>
          <w:p>
            <w:pPr>
              <w:jc w:val="left"/>
            </w:pPr>
            <w:r>
              <w:rPr>
                <w:rFonts w:ascii="Arial" w:hAnsi="Arial" w:eastAsia="Microsoft YaHei"/>
                <w:b w:val="0"/>
                <w:sz w:val="18"/>
              </w:rPr>
              <w:t>H_ms: 512ch</w:t>
            </w:r>
          </w:p>
        </w:tc>
        <w:tc>
          <w:tcPr>
            <w:tcW w:w="2016" w:type="dxa"/>
            <w:vAlign w:val="center"/>
          </w:tcPr>
          <w:p>
            <w:pPr>
              <w:jc w:val="left"/>
            </w:pPr>
            <w:r>
              <w:rPr>
                <w:rFonts w:ascii="Arial" w:hAnsi="Arial" w:eastAsia="Microsoft YaHei"/>
                <w:b w:val="0"/>
                <w:sz w:val="18"/>
              </w:rPr>
              <w:t>U_h: 128ch</w:t>
            </w:r>
          </w:p>
        </w:tc>
        <w:tc>
          <w:tcPr>
            <w:tcW w:w="3888" w:type="dxa"/>
            <w:vAlign w:val="center"/>
          </w:tcPr>
          <w:p>
            <w:pPr>
              <w:jc w:val="left"/>
            </w:pPr>
            <w:r>
              <w:rPr>
                <w:rFonts w:ascii="Arial" w:hAnsi="Arial" w:eastAsia="Microsoft YaHei"/>
                <w:b w:val="0"/>
                <w:sz w:val="18"/>
              </w:rPr>
              <w:t>将局部背景投影到统一比较空间</w:t>
            </w:r>
          </w:p>
        </w:tc>
      </w:tr>
      <w:tr w14:paraId="25CB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92" w:type="dxa"/>
            <w:vAlign w:val="center"/>
          </w:tcPr>
          <w:p>
            <w:pPr>
              <w:jc w:val="left"/>
            </w:pPr>
            <w:r>
              <w:t>D_a 对数绝对异常</w:t>
            </w:r>
          </w:p>
        </w:tc>
        <w:tc>
          <w:tcPr>
            <w:tcW w:w="2592" w:type="dxa"/>
            <w:vAlign w:val="center"/>
          </w:tcPr>
          <w:p>
            <w:pPr>
              <w:jc w:val="left"/>
            </w:pPr>
            <w:r>
              <w:rPr>
                <w:rFonts w:ascii="Arial" w:hAnsi="Arial" w:eastAsia="Microsoft YaHei"/>
                <w:b w:val="0"/>
                <w:sz w:val="18"/>
              </w:rPr>
              <w:t>U_d, U_h</w:t>
            </w:r>
          </w:p>
        </w:tc>
        <w:tc>
          <w:tcPr>
            <w:tcW w:w="2016" w:type="dxa"/>
            <w:vAlign w:val="center"/>
          </w:tcPr>
          <w:p>
            <w:pPr>
              <w:jc w:val="left"/>
            </w:pPr>
            <w:r>
              <w:rPr>
                <w:rFonts w:ascii="Arial" w:hAnsi="Arial" w:eastAsia="Microsoft YaHei"/>
                <w:b w:val="0"/>
                <w:sz w:val="18"/>
              </w:rPr>
              <w:t>D_a: 128ch</w:t>
            </w:r>
          </w:p>
        </w:tc>
        <w:tc>
          <w:tcPr>
            <w:tcW w:w="3888" w:type="dxa"/>
            <w:vAlign w:val="center"/>
          </w:tcPr>
          <w:p>
            <w:pPr>
              <w:jc w:val="left"/>
            </w:pPr>
            <w:r>
              <w:t>D_a=log(1+|U_d-U_h|)</w:t>
            </w:r>
          </w:p>
        </w:tc>
      </w:tr>
      <w:tr>
        <w:trPr>
          <w:cantSplit/>
        </w:trPr>
        <w:tc>
          <w:tcPr>
            <w:tcW w:type="dxa" w:w="2461"/>
            <w:vAlign w:val="center"/>
          </w:tcPr>
          <w:p>
            <w:pPr>
              <w:jc w:val="left"/>
            </w:pPr>
            <w:r>
              <w:rPr>
                <w:rFonts w:ascii="Arial" w:hAnsi="Arial" w:eastAsia="Microsoft YaHei"/>
                <w:b w:val="0"/>
                <w:sz w:val="18"/>
              </w:rPr>
              <w:t>Da-only Classifier</w:t>
            </w:r>
          </w:p>
        </w:tc>
        <w:tc>
          <w:tcPr>
            <w:tcW w:type="dxa" w:w="2444"/>
            <w:vAlign w:val="center"/>
          </w:tcPr>
          <w:p>
            <w:pPr>
              <w:jc w:val="left"/>
            </w:pPr>
            <w:r>
              <w:rPr>
                <w:rFonts w:ascii="Arial" w:hAnsi="Arial" w:eastAsia="Microsoft YaHei"/>
                <w:b w:val="0"/>
                <w:sz w:val="18"/>
              </w:rPr>
              <w:t>D_a: 128ch</w:t>
            </w:r>
          </w:p>
        </w:tc>
        <w:tc>
          <w:tcPr>
            <w:tcW w:type="dxa" w:w="1915"/>
            <w:vAlign w:val="center"/>
          </w:tcPr>
          <w:p>
            <w:pPr>
              <w:jc w:val="left"/>
            </w:pPr>
            <w:r>
              <w:rPr>
                <w:rFonts w:ascii="Arial" w:hAnsi="Arial" w:eastAsia="Microsoft YaHei"/>
                <w:b w:val="0"/>
                <w:sz w:val="18"/>
              </w:rPr>
              <w:t>2ch logits</w:t>
            </w:r>
          </w:p>
        </w:tc>
        <w:tc>
          <w:tcPr>
            <w:tcW w:type="dxa" w:w="3476"/>
            <w:vAlign w:val="center"/>
          </w:tcPr>
          <w:p>
            <w:pPr>
              <w:jc w:val="left"/>
            </w:pPr>
            <w:r>
              <w:t>仅依据通道级对数压缩绝对异常强度输出目标/杂波判决</w:t>
            </w:r>
          </w:p>
        </w:tc>
      </w:tr>
    </w:tbl>
    <w:p w14:paraId="06C7CB5A">
      <w:pPr>
        <w:rPr>
          <w:rFonts w:hint="eastAsia" w:ascii="宋体" w:hAnsi="宋体" w:eastAsia="宋体" w:cs="宋体"/>
          <w:sz w:val="24"/>
          <w:szCs w:val="24"/>
        </w:rPr>
      </w:pPr>
    </w:p>
    <w:p w14:paraId="60063E12">
      <w:pPr>
        <w:spacing w:line="276" w:lineRule="auto"/>
        <w:ind w:firstLine="317"/>
        <w:rPr>
          <w:rFonts w:hint="eastAsia" w:ascii="宋体" w:hAnsi="宋体" w:eastAsia="宋体" w:cs="宋体"/>
          <w:sz w:val="24"/>
          <w:szCs w:val="24"/>
        </w:rPr>
      </w:pP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宋体"/>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宋体"/>
    <w:panose1 w:val="00000000000000000000"/>
    <w:charset w:val="00"/>
    <w:family w:val="auto"/>
    <w:pitch w:val="default"/>
    <w:sig w:usb0="00000000" w:usb1="00000000" w:usb2="00000000" w:usb3="00000000" w:csb0="00000000" w:csb1="00000000"/>
  </w:font>
  <w:font w:name="@宋体">
    <w:panose1 w:val="02010600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1BDBE">
    <w:pPr>
      <w:pStyle w:val="24"/>
      <w:jc w:val="center"/>
    </w:pPr>
    <w:r>
      <w:rPr>
        <w:color w:val="808080"/>
        <w:sz w:val="18"/>
      </w:rPr>
      <w:t>E4-D2 模型设计说明</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4E1B6A"/>
    <w:rsid w:val="7DEE4B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Block"/>
    <w:uiPriority w:val="0"/>
    <w:pPr>
      <w:spacing w:after="200" w:line="276" w:lineRule="auto"/>
    </w:pPr>
    <w:rPr>
      <w:rFonts w:ascii="Consolas" w:hAnsi="Consolas" w:eastAsia="Consolas" w:cstheme="minorBidi"/>
      <w:color w:val="282828"/>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2930</Words>
  <Characters>4813</Characters>
  <Lines>0</Lines>
  <Paragraphs>0</Paragraphs>
  <TotalTime>7</TotalTime>
  <ScaleCrop>false</ScaleCrop>
  <LinksUpToDate>false</LinksUpToDate>
  <CharactersWithSpaces>5376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放腾</cp:lastModifiedBy>
  <dcterms:modified xsi:type="dcterms:W3CDTF">2026-07-05T07:53:37Z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eyJoZGlkIjoiMDk5YWNkZGViMzI0YWM5NWZlMDA5YjA3ZDZmYjA1YzUiLCJ1c2VySWQiOiI5MzI0Nzk2OTcifQ==</vt:lpwstr>
  </property>
  <property fmtid="{D5CDD505-2E9C-101B-9397-08002B2CF9AE}" pid="3" name="KSOProductBuildVer">
    <vt:lpwstr>2052-12.1.0.26895</vt:lpwstr>
  </property>
  <property fmtid="{D5CDD505-2E9C-101B-9397-08002B2CF9AE}" pid="4" name="ICV">
    <vt:lpwstr>4D8E2F13252840F29FB91BA19E8A23F5_13</vt:lpwstr>
  </property>
</Properties>
</file>