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77AB" w14:textId="77777777" w:rsidR="00200B93" w:rsidRDefault="00200B93"/>
    <w:p w14:paraId="694CA8F7" w14:textId="77777777" w:rsidR="00C81A06" w:rsidRPr="00C81A06" w:rsidRDefault="00C81A06" w:rsidP="00C81A06">
      <w:pPr>
        <w:pStyle w:val="1"/>
      </w:pPr>
      <w:r w:rsidRPr="00C81A06">
        <w:rPr>
          <w:rFonts w:hint="eastAsia"/>
        </w:rPr>
        <w:t>泛型到底是什么？</w:t>
      </w:r>
    </w:p>
    <w:p w14:paraId="3CFB0351" w14:textId="77777777" w:rsidR="00C81A06" w:rsidRPr="00C81A06" w:rsidRDefault="00C81A06" w:rsidP="00C81A06">
      <w:pPr>
        <w:widowControl w:val="0"/>
        <w:jc w:val="both"/>
        <w:rPr>
          <w:rFonts w:ascii="等线" w:eastAsia="等线" w:hAnsi="等线"/>
          <w:kern w:val="2"/>
          <w:sz w:val="21"/>
          <w:szCs w:val="22"/>
        </w:rPr>
      </w:pPr>
      <w:r w:rsidRPr="00C81A06">
        <w:rPr>
          <w:rFonts w:ascii="等线" w:eastAsia="等线" w:hAnsi="等线" w:hint="eastAsia"/>
          <w:kern w:val="2"/>
          <w:sz w:val="21"/>
          <w:szCs w:val="22"/>
        </w:rPr>
        <w:t>泛型的本质</w:t>
      </w:r>
      <w:r w:rsidRPr="00C81A06">
        <w:rPr>
          <w:rFonts w:ascii="等线" w:eastAsia="等线" w:hAnsi="等线"/>
          <w:kern w:val="2"/>
          <w:sz w:val="21"/>
          <w:szCs w:val="22"/>
        </w:rPr>
        <w:t xml:space="preserve"> → 类型参数化 → 要操作的数据类型 可以通过参数的形式来指定。</w:t>
      </w:r>
    </w:p>
    <w:p w14:paraId="04BB105F" w14:textId="77777777" w:rsidR="00C81A06" w:rsidRPr="00C81A06" w:rsidRDefault="00C81A06" w:rsidP="00C81A06">
      <w:pPr>
        <w:widowControl w:val="0"/>
        <w:jc w:val="both"/>
        <w:rPr>
          <w:rFonts w:ascii="等线" w:eastAsia="等线" w:hAnsi="等线"/>
          <w:kern w:val="2"/>
          <w:sz w:val="21"/>
          <w:szCs w:val="22"/>
        </w:rPr>
      </w:pPr>
      <w:r w:rsidRPr="00C81A06">
        <w:rPr>
          <w:rFonts w:ascii="等线" w:eastAsia="等线" w:hAnsi="等线" w:hint="eastAsia"/>
          <w:kern w:val="2"/>
          <w:sz w:val="21"/>
          <w:szCs w:val="22"/>
        </w:rPr>
        <w:t>说人话：把数据类型变成参数。</w:t>
      </w:r>
    </w:p>
    <w:p w14:paraId="176FCD1A" w14:textId="77777777" w:rsidR="00C81A06" w:rsidRPr="00C81A06" w:rsidRDefault="00C81A06" w:rsidP="00C81A06">
      <w:pPr>
        <w:widowControl w:val="0"/>
        <w:jc w:val="both"/>
        <w:rPr>
          <w:rFonts w:ascii="等线" w:eastAsia="等线" w:hAnsi="等线"/>
          <w:kern w:val="2"/>
          <w:sz w:val="21"/>
          <w:szCs w:val="22"/>
        </w:rPr>
      </w:pPr>
      <w:r w:rsidRPr="00C81A06">
        <w:rPr>
          <w:rFonts w:ascii="等线" w:eastAsia="等线" w:hAnsi="等线" w:hint="eastAsia"/>
          <w:kern w:val="2"/>
          <w:sz w:val="21"/>
          <w:szCs w:val="22"/>
        </w:rPr>
        <w:t>类比函数</w:t>
      </w:r>
      <w:r w:rsidRPr="00C81A06">
        <w:rPr>
          <w:rFonts w:ascii="等线" w:eastAsia="等线" w:hAnsi="等线"/>
          <w:kern w:val="2"/>
          <w:sz w:val="21"/>
          <w:szCs w:val="22"/>
        </w:rPr>
        <w:t>/方法</w:t>
      </w:r>
      <w:r w:rsidRPr="00C81A06">
        <w:rPr>
          <w:rFonts w:ascii="等线" w:eastAsia="等线" w:hAnsi="等线" w:hint="eastAsia"/>
          <w:kern w:val="2"/>
          <w:sz w:val="21"/>
          <w:szCs w:val="22"/>
        </w:rPr>
        <w:t>，定义时指定参数类型（形参），调用时传入具体参数实例（实参）：</w:t>
      </w:r>
    </w:p>
    <w:p w14:paraId="3D88ADDA" w14:textId="5CBB3235" w:rsidR="00C81A06" w:rsidRDefault="00C81A06" w:rsidP="00C81A06">
      <w:pPr>
        <w:widowControl w:val="0"/>
        <w:jc w:val="both"/>
        <w:rPr>
          <w:rFonts w:ascii="等线" w:eastAsia="等线" w:hAnsi="等线"/>
          <w:kern w:val="2"/>
          <w:sz w:val="21"/>
          <w:szCs w:val="22"/>
        </w:rPr>
      </w:pPr>
      <w:r w:rsidRPr="00C81A06">
        <w:rPr>
          <w:rFonts w:ascii="等线" w:eastAsia="等线" w:hAnsi="等线"/>
          <w:noProof/>
          <w:kern w:val="2"/>
          <w:sz w:val="21"/>
          <w:szCs w:val="22"/>
        </w:rPr>
        <w:drawing>
          <wp:inline distT="0" distB="0" distL="0" distR="0" wp14:anchorId="4E357662" wp14:editId="740B7706">
            <wp:extent cx="5099050" cy="2082800"/>
            <wp:effectExtent l="0" t="0" r="6350" b="0"/>
            <wp:docPr id="145095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125B" w14:textId="77777777" w:rsidR="00C81A06" w:rsidRPr="00C81A06" w:rsidRDefault="00C81A06" w:rsidP="00C81A06">
      <w:pPr>
        <w:widowControl w:val="0"/>
        <w:jc w:val="both"/>
        <w:rPr>
          <w:rFonts w:ascii="等线" w:eastAsia="等线" w:hAnsi="等线" w:hint="eastAsia"/>
          <w:kern w:val="2"/>
          <w:sz w:val="21"/>
          <w:szCs w:val="22"/>
        </w:rPr>
      </w:pPr>
    </w:p>
    <w:p w14:paraId="2EA79245" w14:textId="7ADE4EF9" w:rsidR="00200B93" w:rsidRDefault="00000000">
      <w:pPr>
        <w:pStyle w:val="1"/>
      </w:pPr>
      <w:r>
        <w:rPr>
          <w:rFonts w:hint="eastAsia"/>
        </w:rPr>
        <w:t>泛型的作用：</w:t>
      </w:r>
    </w:p>
    <w:p w14:paraId="6DA32EEA" w14:textId="77777777" w:rsidR="00200B93" w:rsidRDefault="00000000">
      <w:r>
        <w:rPr>
          <w:rFonts w:hint="eastAsia"/>
        </w:rPr>
        <w:t>语法糖：</w:t>
      </w:r>
    </w:p>
    <w:p w14:paraId="284BBCA6" w14:textId="77777777" w:rsidR="00200B93" w:rsidRDefault="00000000">
      <w:r>
        <w:rPr>
          <w:rFonts w:hint="eastAsia"/>
        </w:rPr>
        <w:t>可以将容易运行时出错的地方使用泛</w:t>
      </w:r>
      <w:proofErr w:type="gramStart"/>
      <w:r>
        <w:rPr>
          <w:rFonts w:hint="eastAsia"/>
        </w:rPr>
        <w:t>型限制</w:t>
      </w:r>
      <w:proofErr w:type="gramEnd"/>
      <w:r>
        <w:rPr>
          <w:rFonts w:hint="eastAsia"/>
        </w:rPr>
        <w:t>变成在编译期间就可以发现的错误</w:t>
      </w:r>
    </w:p>
    <w:p w14:paraId="7C90E6AC" w14:textId="77777777" w:rsidR="00200B93" w:rsidRDefault="00200B93"/>
    <w:p w14:paraId="5DEE416E" w14:textId="77777777" w:rsidR="00200B93" w:rsidRDefault="00000000">
      <w:r>
        <w:rPr>
          <w:rFonts w:hint="eastAsia"/>
        </w:rPr>
        <w:t>如果等待在运行时出错再改</w:t>
      </w:r>
    </w:p>
    <w:p w14:paraId="1850F700" w14:textId="77777777" w:rsidR="00200B93" w:rsidRDefault="00000000">
      <w:r>
        <w:rPr>
          <w:rFonts w:hint="eastAsia"/>
        </w:rPr>
        <w:t>1</w:t>
      </w:r>
      <w:r>
        <w:rPr>
          <w:rFonts w:hint="eastAsia"/>
        </w:rPr>
        <w:t>、可能耗费更多时间和精力</w:t>
      </w:r>
    </w:p>
    <w:p w14:paraId="75206CE6" w14:textId="77777777" w:rsidR="00200B93" w:rsidRDefault="00000000">
      <w:pPr>
        <w:numPr>
          <w:ilvl w:val="0"/>
          <w:numId w:val="1"/>
        </w:numPr>
      </w:pPr>
      <w:r>
        <w:rPr>
          <w:rFonts w:hint="eastAsia"/>
        </w:rPr>
        <w:t>如果测试时没有发现错误等到上线了运行再发现就已经晚了</w:t>
      </w:r>
    </w:p>
    <w:p w14:paraId="77FEB2B4" w14:textId="77777777" w:rsidR="00200B93" w:rsidRDefault="00200B93">
      <w:pPr>
        <w:widowControl w:val="0"/>
        <w:jc w:val="both"/>
      </w:pPr>
    </w:p>
    <w:p w14:paraId="011AAD0A" w14:textId="77777777" w:rsidR="00200B93" w:rsidRDefault="00200B93">
      <w:pPr>
        <w:widowControl w:val="0"/>
        <w:jc w:val="both"/>
      </w:pPr>
    </w:p>
    <w:p w14:paraId="776CFFAB" w14:textId="77777777" w:rsidR="00200B93" w:rsidRDefault="00000000">
      <w:pPr>
        <w:pStyle w:val="1"/>
      </w:pPr>
      <w:r>
        <w:rPr>
          <w:rFonts w:hint="eastAsia"/>
        </w:rPr>
        <w:t>泛型规则：</w:t>
      </w:r>
      <w:r>
        <w:rPr>
          <w:rFonts w:hint="eastAsia"/>
        </w:rPr>
        <w:t>(Article extends Entity)</w:t>
      </w:r>
    </w:p>
    <w:p w14:paraId="2B993551" w14:textId="77777777" w:rsidR="00200B93" w:rsidRDefault="00000000">
      <w:pPr>
        <w:widowControl w:val="0"/>
        <w:numPr>
          <w:ilvl w:val="0"/>
          <w:numId w:val="2"/>
        </w:numPr>
        <w:jc w:val="both"/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</w:pPr>
      <w:r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  <w:t>边界限制</w:t>
      </w:r>
    </w:p>
    <w:p w14:paraId="2F9F1C8C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spacing w:val="15"/>
          <w:sz w:val="22"/>
          <w:szCs w:val="22"/>
          <w:highlight w:val="yellow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 xml:space="preserve"> extends Entity&gt;</w:t>
      </w: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泛型上界</w:t>
      </w:r>
    </w:p>
    <w:p w14:paraId="06170293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好处：可以直接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调用父类或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父接口的方法</w:t>
      </w:r>
    </w:p>
    <w:p w14:paraId="3BCA8177" w14:textId="77777777" w:rsidR="00200B93" w:rsidRDefault="00000000">
      <w:pPr>
        <w:widowControl w:val="0"/>
        <w:numPr>
          <w:ilvl w:val="0"/>
          <w:numId w:val="2"/>
        </w:numPr>
        <w:jc w:val="both"/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</w:pPr>
      <w:r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  <w:t>不变、协变、逆变</w:t>
      </w:r>
    </w:p>
    <w:p w14:paraId="62D597AE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lastRenderedPageBreak/>
        <w:t>编译器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直接认为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 Response&lt;Entity&gt; 和 Response&lt;Article&gt; 不存在继承关系，无法相互替代，即只能识别具体的类型，这就是泛型的不变性。</w:t>
      </w:r>
    </w:p>
    <w:p w14:paraId="3728EC2B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而在有些场景，这样的特性会给我们带来一些不便，可以通过型变来扩展参数的类型范围，有下面两种形式：</w:t>
      </w:r>
    </w:p>
    <w:p w14:paraId="37F8EE0F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Style w:val="a3"/>
          <w:rFonts w:ascii="宋体" w:eastAsia="宋体" w:hAnsi="宋体" w:cs="宋体"/>
          <w:spacing w:val="15"/>
          <w:sz w:val="22"/>
          <w:szCs w:val="22"/>
        </w:rPr>
        <w:t>① 协变：父子关系一致 → 子类也可以作为参数传进来 → &lt;</w:t>
      </w:r>
      <w:r>
        <w:rPr>
          <w:rStyle w:val="a3"/>
          <w:rFonts w:ascii="宋体" w:eastAsia="宋体" w:hAnsi="宋体" w:cs="宋体"/>
          <w:spacing w:val="15"/>
          <w:sz w:val="22"/>
          <w:szCs w:val="22"/>
          <w:highlight w:val="yellow"/>
        </w:rPr>
        <w:t>?</w:t>
      </w:r>
      <w:r>
        <w:rPr>
          <w:rStyle w:val="a3"/>
          <w:rFonts w:ascii="宋体" w:eastAsia="宋体" w:hAnsi="宋体" w:cs="宋体"/>
          <w:spacing w:val="15"/>
          <w:sz w:val="22"/>
          <w:szCs w:val="22"/>
        </w:rPr>
        <w:t xml:space="preserve"> extends Entity&gt; → 上界通配符</w:t>
      </w:r>
      <w:r>
        <w:rPr>
          <w:rFonts w:ascii="宋体" w:eastAsia="宋体" w:hAnsi="宋体" w:cs="宋体"/>
        </w:rPr>
        <w:br/>
      </w:r>
      <w:r>
        <w:rPr>
          <w:rStyle w:val="a3"/>
          <w:rFonts w:ascii="宋体" w:eastAsia="宋体" w:hAnsi="宋体" w:cs="宋体"/>
          <w:color w:val="888888"/>
          <w:spacing w:val="15"/>
          <w:sz w:val="22"/>
          <w:szCs w:val="22"/>
        </w:rPr>
        <w:t>Tips：Kotlin中使用 out 关键字表示协变 → Response&lt;out Entity&gt;</w:t>
      </w:r>
    </w:p>
    <w:p w14:paraId="63D19761" w14:textId="77777777" w:rsidR="00200B93" w:rsidRDefault="00000000">
      <w:pPr>
        <w:rPr>
          <w:rStyle w:val="a3"/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Style w:val="a3"/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② 逆变：父子关系颠倒 → </w:t>
      </w:r>
      <w:proofErr w:type="gramStart"/>
      <w:r>
        <w:rPr>
          <w:rStyle w:val="a3"/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父类也</w:t>
      </w:r>
      <w:proofErr w:type="gramEnd"/>
      <w:r>
        <w:rPr>
          <w:rStyle w:val="a3"/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可以作为参数传进来 → &lt;? super Article&gt; → 下界通配符</w:t>
      </w:r>
    </w:p>
    <w:p w14:paraId="7AA94D96" w14:textId="77777777" w:rsidR="00200B93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004B2E62" wp14:editId="5F3F11F5">
            <wp:extent cx="5095875" cy="1676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25C2B" w14:textId="77777777" w:rsidR="00200B93" w:rsidRDefault="00000000">
      <w:pPr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</w:pPr>
      <w:r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  <w:t>Tips：Kotlin中使用 in 关键字表示逆变 → Response&lt;in Entity&gt;</w:t>
      </w:r>
    </w:p>
    <w:p w14:paraId="7766AE04" w14:textId="77777777" w:rsidR="00200B93" w:rsidRDefault="00000000">
      <w:pPr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3</w:t>
      </w: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无限定通配符&lt;?&gt;</w:t>
      </w:r>
    </w:p>
    <w:p w14:paraId="392ECBD6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不关心泛型的具体类型时</w:t>
      </w: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可用</w:t>
      </w:r>
    </w:p>
    <w:p w14:paraId="534E984C" w14:textId="77777777" w:rsidR="00200B93" w:rsidRDefault="00000000">
      <w:pPr>
        <w:widowControl w:val="0"/>
        <w:jc w:val="both"/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</w:pPr>
      <w:r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  <w:t>Tips：Kotlin 中使用星投影 &lt;*&gt; 表示，等价于 &lt;out Any&gt;</w:t>
      </w:r>
    </w:p>
    <w:p w14:paraId="0935875C" w14:textId="77777777" w:rsidR="00200B93" w:rsidRDefault="00200B93">
      <w:pPr>
        <w:widowControl w:val="0"/>
        <w:jc w:val="both"/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</w:pPr>
    </w:p>
    <w:p w14:paraId="65968F8A" w14:textId="77777777" w:rsidR="00200B93" w:rsidRDefault="00200B93">
      <w:pPr>
        <w:widowControl w:val="0"/>
        <w:jc w:val="both"/>
        <w:rPr>
          <w:rStyle w:val="a3"/>
          <w:rFonts w:ascii="微软雅黑" w:eastAsia="微软雅黑" w:hAnsi="微软雅黑" w:cs="微软雅黑"/>
          <w:color w:val="888888"/>
          <w:spacing w:val="15"/>
          <w:sz w:val="22"/>
          <w:szCs w:val="22"/>
          <w:shd w:val="clear" w:color="auto" w:fill="FFFFFF"/>
        </w:rPr>
      </w:pPr>
    </w:p>
    <w:p w14:paraId="5C0D8709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根据定义型变的位置，分为使用处型变（对象定义）和声明处型变（类定义）。</w:t>
      </w:r>
    </w:p>
    <w:p w14:paraId="0E023F50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Java 只有使用处型变（例子就是），而 Kotlin 两种都有，示例如下：</w:t>
      </w:r>
    </w:p>
    <w:p w14:paraId="074387C7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// Kotlin 使用处型变</w:t>
      </w:r>
    </w:p>
    <w:p w14:paraId="44BC9B1C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fun </w:t>
      </w:r>
      <w:proofErr w:type="spellStart"/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printArticleResponse</w:t>
      </w:r>
      <w:proofErr w:type="spell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response: Response&lt;in Article&gt;) {</w:t>
      </w:r>
    </w:p>
    <w:p w14:paraId="12975565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lastRenderedPageBreak/>
        <w:t xml:space="preserve">    </w:t>
      </w:r>
      <w:proofErr w:type="spell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response.parseResponse</w:t>
      </w:r>
      <w:proofErr w:type="spell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("开始请求接口")</w:t>
      </w:r>
    </w:p>
    <w:p w14:paraId="52B3BD76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}</w:t>
      </w:r>
    </w:p>
    <w:p w14:paraId="5478336E" w14:textId="77777777" w:rsidR="00200B93" w:rsidRDefault="00200B93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</w:p>
    <w:p w14:paraId="2259DB74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// Kotlin 声明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处型变</w:t>
      </w:r>
      <w:proofErr w:type="gramEnd"/>
    </w:p>
    <w:p w14:paraId="6C44B878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class </w:t>
      </w:r>
      <w:proofErr w:type="spell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KtResponse</w:t>
      </w:r>
      <w:proofErr w:type="spell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&lt;in T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&gt;(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private </w:t>
      </w:r>
      <w:proofErr w:type="spell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val</w:t>
      </w:r>
      <w:proofErr w:type="spell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 entity: T){</w:t>
      </w:r>
    </w:p>
    <w:p w14:paraId="2365D0CD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 xml:space="preserve">    fun </w:t>
      </w:r>
      <w:proofErr w:type="spellStart"/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getOut</w:t>
      </w:r>
      <w:proofErr w:type="spell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): T = t</w:t>
      </w:r>
    </w:p>
    <w:p w14:paraId="14081008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}</w:t>
      </w:r>
    </w:p>
    <w:p w14:paraId="145BC84B" w14:textId="77777777" w:rsidR="00200B93" w:rsidRDefault="00000000">
      <w:pPr>
        <w:widowControl w:val="0"/>
        <w:numPr>
          <w:ilvl w:val="0"/>
          <w:numId w:val="2"/>
        </w:numPr>
        <w:jc w:val="both"/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</w:pPr>
      <w:proofErr w:type="gramStart"/>
      <w:r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  <w:t>何时用协变</w:t>
      </w:r>
      <w:proofErr w:type="gramEnd"/>
      <w:r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  <w:t>？何时用逆变？</w:t>
      </w:r>
    </w:p>
    <w:p w14:paraId="201FA05E" w14:textId="77777777" w:rsidR="00200B93" w:rsidRDefault="00000000">
      <w:r>
        <w:rPr>
          <w:rFonts w:ascii="宋体" w:eastAsia="宋体" w:hAnsi="宋体" w:cs="宋体"/>
          <w:spacing w:val="15"/>
          <w:sz w:val="22"/>
          <w:szCs w:val="22"/>
          <w:lang w:bidi="ar"/>
        </w:rPr>
        <w:t>先提一嘴</w:t>
      </w:r>
      <w:proofErr w:type="gramStart"/>
      <w:r>
        <w:rPr>
          <w:rFonts w:ascii="宋体" w:eastAsia="宋体" w:hAnsi="宋体" w:cs="宋体"/>
          <w:spacing w:val="15"/>
          <w:sz w:val="22"/>
          <w:szCs w:val="22"/>
          <w:lang w:bidi="ar"/>
        </w:rPr>
        <w:t>介个</w:t>
      </w:r>
      <w:proofErr w:type="gramEnd"/>
      <w:r>
        <w:rPr>
          <w:rFonts w:ascii="宋体" w:eastAsia="宋体" w:hAnsi="宋体" w:cs="宋体"/>
          <w:spacing w:val="15"/>
          <w:sz w:val="22"/>
          <w:szCs w:val="22"/>
          <w:lang w:bidi="ar"/>
        </w:rPr>
        <w:t>：</w:t>
      </w:r>
    </w:p>
    <w:p w14:paraId="7857F5AF" w14:textId="77777777" w:rsidR="00200B93" w:rsidRDefault="00000000">
      <w:pPr>
        <w:numPr>
          <w:ilvl w:val="0"/>
          <w:numId w:val="3"/>
        </w:numPr>
        <w:ind w:left="120"/>
        <w:jc w:val="both"/>
        <w:rPr>
          <w:spacing w:val="15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向上转型 → 子类转换成父类（隐式），安全，可以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访问父类成员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；</w:t>
      </w:r>
    </w:p>
    <w:p w14:paraId="61793BF9" w14:textId="77777777" w:rsidR="00200B93" w:rsidRDefault="00000000">
      <w:pPr>
        <w:numPr>
          <w:ilvl w:val="0"/>
          <w:numId w:val="3"/>
        </w:numPr>
        <w:ind w:left="120"/>
        <w:jc w:val="both"/>
        <w:rPr>
          <w:spacing w:val="15"/>
        </w:rPr>
      </w:pP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 xml:space="preserve">向下转型 → </w:t>
      </w:r>
      <w:proofErr w:type="gramStart"/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父类转换</w:t>
      </w:r>
      <w:proofErr w:type="gramEnd"/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成子类（显式），存在安全隐患，子</w:t>
      </w:r>
      <w:proofErr w:type="gramStart"/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类可能有一些父类没有</w:t>
      </w:r>
      <w:proofErr w:type="gramEnd"/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的方法；</w:t>
      </w:r>
    </w:p>
    <w:p w14:paraId="02FEB3F9" w14:textId="77777777" w:rsidR="00200B93" w:rsidRDefault="00200B93">
      <w:pPr>
        <w:widowControl w:val="0"/>
        <w:jc w:val="both"/>
        <w:rPr>
          <w:rStyle w:val="a3"/>
          <w:rFonts w:ascii="宋体" w:eastAsia="宋体" w:hAnsi="宋体" w:cs="宋体"/>
          <w:color w:val="95B866"/>
          <w:spacing w:val="15"/>
          <w:sz w:val="22"/>
          <w:szCs w:val="22"/>
        </w:rPr>
      </w:pPr>
    </w:p>
    <w:p w14:paraId="004B1C3F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协变 → 能读不能写（能用</w:t>
      </w:r>
      <w:proofErr w:type="gramStart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父类型去</w:t>
      </w:r>
      <w:proofErr w:type="gramEnd"/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获取数据，不确定具体类型，不能传）。</w:t>
      </w:r>
    </w:p>
    <w:p w14:paraId="5C87469F" w14:textId="77777777" w:rsidR="00200B93" w:rsidRDefault="00000000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11A0D23A" wp14:editId="61ADC459">
            <wp:extent cx="4638675" cy="1495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AD3944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逆变 → 能写不能读（能传入子类型，不确定具体类型，不能读，但可以用Object读）。</w:t>
      </w:r>
    </w:p>
    <w:p w14:paraId="2C7ACAC8" w14:textId="77777777" w:rsidR="00200B93" w:rsidRDefault="00200B93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</w:p>
    <w:p w14:paraId="7DC235C4" w14:textId="77777777" w:rsidR="00200B93" w:rsidRDefault="00000000"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 wp14:anchorId="62527CE5" wp14:editId="118E52FB">
            <wp:extent cx="4705350" cy="1524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959B9D" w14:textId="77777777" w:rsidR="00200B93" w:rsidRDefault="00200B93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</w:p>
    <w:p w14:paraId="6C7F8FCD" w14:textId="77777777" w:rsidR="00200B93" w:rsidRDefault="00000000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Tips：</w:t>
      </w:r>
    </w:p>
    <w:p w14:paraId="74BCAD65" w14:textId="77777777" w:rsidR="00200B93" w:rsidRDefault="00000000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能向上</w:t>
      </w:r>
      <w:proofErr w:type="gramStart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转型但</w:t>
      </w:r>
      <w:proofErr w:type="gramEnd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不能向下转型：</w:t>
      </w:r>
    </w:p>
    <w:p w14:paraId="0554FAB3" w14:textId="77777777" w:rsidR="00200B93" w:rsidRDefault="00000000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  <w:proofErr w:type="spellStart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response.setEntity</w:t>
      </w:r>
      <w:proofErr w:type="spellEnd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(new Entity)将接收的Entity对象转为response的对象</w:t>
      </w:r>
    </w:p>
    <w:p w14:paraId="28225402" w14:textId="77777777" w:rsidR="00200B93" w:rsidRDefault="00000000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 xml:space="preserve">Entity </w:t>
      </w:r>
      <w:proofErr w:type="spellStart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entity</w:t>
      </w:r>
      <w:proofErr w:type="spellEnd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response.getEntity</w:t>
      </w:r>
      <w:proofErr w:type="spellEnd"/>
      <w:r>
        <w:rPr>
          <w:rFonts w:ascii="宋体" w:eastAsia="宋体" w:hAnsi="宋体" w:cs="宋体" w:hint="eastAsia"/>
          <w:spacing w:val="15"/>
          <w:sz w:val="22"/>
          <w:szCs w:val="22"/>
          <w:lang w:bidi="ar"/>
        </w:rPr>
        <w:t>()将获取到的Entity对象转为entity对象</w:t>
      </w:r>
    </w:p>
    <w:p w14:paraId="47FDA64B" w14:textId="77777777" w:rsidR="00200B93" w:rsidRDefault="00200B93">
      <w:pPr>
        <w:rPr>
          <w:rFonts w:ascii="宋体" w:eastAsia="宋体" w:hAnsi="宋体" w:cs="宋体"/>
          <w:spacing w:val="15"/>
          <w:sz w:val="22"/>
          <w:szCs w:val="22"/>
          <w:lang w:bidi="ar"/>
        </w:rPr>
      </w:pPr>
    </w:p>
    <w:p w14:paraId="68E175B8" w14:textId="77777777" w:rsidR="00200B93" w:rsidRDefault="00000000">
      <w:r>
        <w:rPr>
          <w:rFonts w:ascii="宋体" w:eastAsia="宋体" w:hAnsi="宋体" w:cs="宋体"/>
          <w:spacing w:val="15"/>
          <w:sz w:val="22"/>
          <w:szCs w:val="22"/>
          <w:lang w:bidi="ar"/>
        </w:rPr>
        <w:t>实在不行，那就背：PECS法则(Producer Extends，Consumer Super)</w:t>
      </w:r>
    </w:p>
    <w:p w14:paraId="2C6DF1F5" w14:textId="77777777" w:rsidR="00200B93" w:rsidRDefault="00000000">
      <w:pPr>
        <w:numPr>
          <w:ilvl w:val="0"/>
          <w:numId w:val="4"/>
        </w:numPr>
        <w:ind w:left="120"/>
        <w:jc w:val="both"/>
        <w:rPr>
          <w:spacing w:val="15"/>
        </w:rPr>
      </w:pPr>
      <w:r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  <w:t>生产者 → extends/out → 协变 → 对象只作为返回值传出</w:t>
      </w:r>
    </w:p>
    <w:p w14:paraId="10E7FCE1" w14:textId="77777777" w:rsidR="00200B93" w:rsidRDefault="00000000">
      <w:pPr>
        <w:numPr>
          <w:ilvl w:val="0"/>
          <w:numId w:val="4"/>
        </w:numPr>
        <w:ind w:left="120"/>
        <w:jc w:val="both"/>
        <w:rPr>
          <w:spacing w:val="15"/>
        </w:rPr>
      </w:pP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消费者 → super/in → 逆变 → 对象只作为参数传入</w:t>
      </w:r>
    </w:p>
    <w:p w14:paraId="2EDCF20C" w14:textId="77777777" w:rsidR="00200B93" w:rsidRDefault="00000000">
      <w:r>
        <w:rPr>
          <w:rFonts w:ascii="宋体" w:eastAsia="宋体" w:hAnsi="宋体" w:cs="宋体"/>
          <w:lang w:bidi="ar"/>
        </w:rPr>
        <w:br/>
      </w:r>
      <w:r>
        <w:rPr>
          <w:rStyle w:val="a3"/>
          <w:rFonts w:ascii="宋体" w:eastAsia="宋体" w:hAnsi="宋体" w:cs="宋体"/>
          <w:color w:val="888888"/>
          <w:spacing w:val="15"/>
          <w:sz w:val="22"/>
          <w:szCs w:val="22"/>
          <w:lang w:bidi="ar"/>
        </w:rPr>
        <w:t>Tips：Kotlin 官方文档写的 Consumer in, Producer out!，好像更容易理解和记忆~</w:t>
      </w:r>
    </w:p>
    <w:p w14:paraId="6D3E7393" w14:textId="77777777" w:rsidR="00200B93" w:rsidRDefault="00200B93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</w:p>
    <w:p w14:paraId="0FE4B79B" w14:textId="77777777" w:rsidR="00200B93" w:rsidRDefault="00200B93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</w:p>
    <w:p w14:paraId="546469AF" w14:textId="77777777" w:rsidR="00200B93" w:rsidRDefault="00000000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15"/>
          <w:sz w:val="22"/>
          <w:szCs w:val="22"/>
          <w:shd w:val="clear" w:color="auto" w:fill="FFFFFF"/>
        </w:rPr>
        <w:t>总结：</w:t>
      </w:r>
    </w:p>
    <w:p w14:paraId="2B373724" w14:textId="77777777" w:rsidR="00200B93" w:rsidRDefault="00200B93">
      <w:pPr>
        <w:widowControl w:val="0"/>
        <w:jc w:val="both"/>
        <w:rPr>
          <w:rFonts w:ascii="微软雅黑" w:eastAsia="微软雅黑" w:hAnsi="微软雅黑" w:cs="微软雅黑"/>
          <w:spacing w:val="15"/>
          <w:sz w:val="22"/>
          <w:szCs w:val="22"/>
          <w:shd w:val="clear" w:color="auto" w:fill="FFFFFF"/>
        </w:rPr>
      </w:pPr>
    </w:p>
    <w:sectPr w:rsidR="0020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06AB2C"/>
    <w:multiLevelType w:val="multilevel"/>
    <w:tmpl w:val="A506AB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A1B3583"/>
    <w:multiLevelType w:val="singleLevel"/>
    <w:tmpl w:val="DA1B3583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E2EE4935"/>
    <w:multiLevelType w:val="multilevel"/>
    <w:tmpl w:val="E2EE49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495F1B9B"/>
    <w:multiLevelType w:val="singleLevel"/>
    <w:tmpl w:val="495F1B9B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 w16cid:durableId="1022315268">
    <w:abstractNumId w:val="1"/>
  </w:num>
  <w:num w:numId="2" w16cid:durableId="1931084033">
    <w:abstractNumId w:val="3"/>
  </w:num>
  <w:num w:numId="3" w16cid:durableId="1308900160">
    <w:abstractNumId w:val="2"/>
  </w:num>
  <w:num w:numId="4" w16cid:durableId="111740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UyNjFkMjI1ZDkyNDMzMTBjYjMzYWE0MTA4YmEwMTkifQ=="/>
  </w:docVars>
  <w:rsids>
    <w:rsidRoot w:val="00200B93"/>
    <w:rsid w:val="00200B93"/>
    <w:rsid w:val="00C81A06"/>
    <w:rsid w:val="077F6030"/>
    <w:rsid w:val="09F80E66"/>
    <w:rsid w:val="28E86F25"/>
    <w:rsid w:val="37CE3417"/>
    <w:rsid w:val="3BF2719D"/>
    <w:rsid w:val="3C646171"/>
    <w:rsid w:val="3C925059"/>
    <w:rsid w:val="51811282"/>
    <w:rsid w:val="57D26C83"/>
    <w:rsid w:val="616B394F"/>
    <w:rsid w:val="63EE5753"/>
    <w:rsid w:val="6DC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EF360"/>
  <w15:docId w15:val="{D877D942-F56A-42CD-AE53-2036C170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1093852158@qq.com</cp:lastModifiedBy>
  <cp:revision>2</cp:revision>
  <dcterms:created xsi:type="dcterms:W3CDTF">2023-08-01T02:36:00Z</dcterms:created>
  <dcterms:modified xsi:type="dcterms:W3CDTF">2023-08-01T13:20:00Z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F48EB85D5E444CACB842173FB7A722E8_12</vt:lpwstr>
  </property>
</Properties>
</file>