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84E5" w14:textId="77777777" w:rsidR="003019BC" w:rsidRDefault="003019BC" w:rsidP="003019BC">
      <w:pPr>
        <w:spacing w:line="360" w:lineRule="auto"/>
        <w:rPr>
          <w:lang w:val="en-US"/>
        </w:rPr>
      </w:pPr>
      <w:r>
        <w:rPr>
          <w:lang w:val="en-US"/>
        </w:rPr>
        <w:t>Yutong Zhao</w:t>
      </w:r>
    </w:p>
    <w:p w14:paraId="08D8FDEA" w14:textId="0B6F1E90" w:rsidR="003019BC" w:rsidRDefault="003019BC" w:rsidP="003019BC">
      <w:pPr>
        <w:spacing w:line="360" w:lineRule="auto"/>
        <w:rPr>
          <w:color w:val="222832"/>
          <w:shd w:val="clear" w:color="auto" w:fill="FFFFFF"/>
        </w:rPr>
      </w:pPr>
      <w:r>
        <w:rPr>
          <w:lang w:val="en-US"/>
        </w:rPr>
        <w:t xml:space="preserve">Professor </w:t>
      </w:r>
      <w:r w:rsidRPr="003019BC">
        <w:rPr>
          <w:color w:val="222832"/>
          <w:shd w:val="clear" w:color="auto" w:fill="FFFFFF"/>
        </w:rPr>
        <w:t>Jacob Koehler</w:t>
      </w:r>
    </w:p>
    <w:p w14:paraId="001EBB7B" w14:textId="6F8D78C5" w:rsidR="003019BC" w:rsidRPr="003019BC" w:rsidRDefault="003019BC" w:rsidP="003019BC">
      <w:pPr>
        <w:spacing w:line="360" w:lineRule="auto"/>
        <w:rPr>
          <w:lang w:val="en-US"/>
        </w:rPr>
      </w:pPr>
      <w:r>
        <w:rPr>
          <w:color w:val="222832"/>
          <w:shd w:val="clear" w:color="auto" w:fill="FFFFFF"/>
        </w:rPr>
        <w:t>ECON-UB 232 2025 Fall: Data Bootcamp</w:t>
      </w:r>
    </w:p>
    <w:p w14:paraId="7D9BFE7B" w14:textId="6BC7937C" w:rsidR="003019BC" w:rsidRDefault="003019BC" w:rsidP="003019BC">
      <w:pPr>
        <w:spacing w:line="360" w:lineRule="auto"/>
        <w:rPr>
          <w:lang w:val="en-US"/>
        </w:rPr>
      </w:pPr>
      <w:r>
        <w:rPr>
          <w:lang w:val="en-US"/>
        </w:rPr>
        <w:t>12 December 2025</w:t>
      </w:r>
    </w:p>
    <w:p w14:paraId="164AA020" w14:textId="77777777" w:rsidR="003019BC" w:rsidRDefault="003019BC" w:rsidP="00BB1F51">
      <w:pPr>
        <w:shd w:val="clear" w:color="auto" w:fill="FFFFFF"/>
        <w:spacing w:after="240" w:line="360" w:lineRule="auto"/>
        <w:jc w:val="center"/>
        <w:outlineLvl w:val="1"/>
        <w:rPr>
          <w:b/>
          <w:bCs/>
          <w:color w:val="1F1F1F"/>
          <w:sz w:val="28"/>
          <w:szCs w:val="28"/>
        </w:rPr>
      </w:pPr>
    </w:p>
    <w:p w14:paraId="6BCC30BD" w14:textId="7D3A5135" w:rsidR="00442591" w:rsidRPr="00837168" w:rsidRDefault="00442591" w:rsidP="00BB1F51">
      <w:pPr>
        <w:shd w:val="clear" w:color="auto" w:fill="FFFFFF"/>
        <w:spacing w:after="240" w:line="360" w:lineRule="auto"/>
        <w:jc w:val="center"/>
        <w:outlineLvl w:val="1"/>
        <w:rPr>
          <w:color w:val="1F1F1F"/>
          <w:sz w:val="28"/>
          <w:szCs w:val="28"/>
        </w:rPr>
      </w:pPr>
      <w:r w:rsidRPr="00442591">
        <w:rPr>
          <w:b/>
          <w:bCs/>
          <w:color w:val="1F1F1F"/>
          <w:sz w:val="28"/>
          <w:szCs w:val="28"/>
        </w:rPr>
        <w:t xml:space="preserve">Forecasting Producer Price </w:t>
      </w:r>
      <w:r w:rsidR="001523B3">
        <w:rPr>
          <w:b/>
          <w:bCs/>
          <w:color w:val="1F1F1F"/>
          <w:sz w:val="28"/>
          <w:szCs w:val="28"/>
        </w:rPr>
        <w:t>Index</w:t>
      </w:r>
      <w:r w:rsidRPr="00442591">
        <w:rPr>
          <w:b/>
          <w:bCs/>
          <w:color w:val="1F1F1F"/>
          <w:sz w:val="28"/>
          <w:szCs w:val="28"/>
        </w:rPr>
        <w:t xml:space="preserve"> </w:t>
      </w:r>
      <w:r w:rsidR="00106A3C">
        <w:rPr>
          <w:b/>
          <w:bCs/>
          <w:color w:val="1F1F1F"/>
          <w:sz w:val="28"/>
          <w:szCs w:val="28"/>
        </w:rPr>
        <w:t>of</w:t>
      </w:r>
      <w:r w:rsidRPr="00442591">
        <w:rPr>
          <w:b/>
          <w:bCs/>
          <w:color w:val="1F1F1F"/>
          <w:sz w:val="28"/>
          <w:szCs w:val="28"/>
        </w:rPr>
        <w:t xml:space="preserve"> U.S. Fuel Oil Using Classical and Hybrid Time Series Models</w:t>
      </w:r>
    </w:p>
    <w:p w14:paraId="1376AF62" w14:textId="77777777" w:rsidR="00442591" w:rsidRPr="00442591" w:rsidRDefault="00442591" w:rsidP="00497960">
      <w:pPr>
        <w:shd w:val="clear" w:color="auto" w:fill="FFFFFF"/>
        <w:spacing w:before="240" w:after="240" w:line="360" w:lineRule="auto"/>
        <w:outlineLvl w:val="2"/>
        <w:rPr>
          <w:color w:val="1F1F1F"/>
        </w:rPr>
      </w:pPr>
      <w:r w:rsidRPr="00442591">
        <w:rPr>
          <w:b/>
          <w:bCs/>
          <w:color w:val="1F1F1F"/>
        </w:rPr>
        <w:t>1. Introduction</w:t>
      </w:r>
    </w:p>
    <w:p w14:paraId="4B330BA8" w14:textId="683F9D83" w:rsidR="00442591" w:rsidRPr="00442591" w:rsidRDefault="00442591" w:rsidP="00BB1F51">
      <w:pPr>
        <w:shd w:val="clear" w:color="auto" w:fill="FFFFFF"/>
        <w:spacing w:line="360" w:lineRule="auto"/>
        <w:rPr>
          <w:color w:val="1F1F1F"/>
        </w:rPr>
      </w:pPr>
      <w:r w:rsidRPr="00442591">
        <w:rPr>
          <w:color w:val="1F1F1F"/>
        </w:rPr>
        <w:t>This project develops predictive model</w:t>
      </w:r>
      <w:r w:rsidR="00880713">
        <w:rPr>
          <w:color w:val="1F1F1F"/>
        </w:rPr>
        <w:t>s</w:t>
      </w:r>
      <w:r w:rsidRPr="00442591">
        <w:rPr>
          <w:color w:val="1F1F1F"/>
        </w:rPr>
        <w:t xml:space="preserve"> for </w:t>
      </w:r>
      <w:r w:rsidR="006E12F5">
        <w:rPr>
          <w:color w:val="1F1F1F"/>
        </w:rPr>
        <w:t xml:space="preserve">the </w:t>
      </w:r>
      <w:r w:rsidRPr="00442591">
        <w:rPr>
          <w:color w:val="1F1F1F"/>
        </w:rPr>
        <w:t xml:space="preserve">monthly Producer Price Index (PPI) </w:t>
      </w:r>
      <w:r w:rsidR="00106A3C">
        <w:rPr>
          <w:color w:val="1F1F1F"/>
        </w:rPr>
        <w:t xml:space="preserve">of </w:t>
      </w:r>
      <w:r w:rsidRPr="00442591">
        <w:rPr>
          <w:color w:val="1F1F1F"/>
        </w:rPr>
        <w:t>U.S. fuel oil using both classical time series models and machine learning techniques. The objective is to improve medium-term inflation forecasting accuracy by combining traditional univariate approaches with exogenous macroeconomic drivers, including consumer prices, oil spot prices, and industrial production.</w:t>
      </w:r>
    </w:p>
    <w:p w14:paraId="005309B2" w14:textId="472144A6" w:rsidR="00442591" w:rsidRPr="00442591" w:rsidRDefault="00442591" w:rsidP="00BB1F51">
      <w:pPr>
        <w:shd w:val="clear" w:color="auto" w:fill="FFFFFF"/>
        <w:spacing w:line="360" w:lineRule="auto"/>
        <w:rPr>
          <w:color w:val="1F1F1F"/>
        </w:rPr>
      </w:pPr>
      <w:r w:rsidRPr="00442591">
        <w:rPr>
          <w:color w:val="1F1F1F"/>
        </w:rPr>
        <w:t xml:space="preserve">Multiple benchmark models </w:t>
      </w:r>
      <w:r w:rsidR="00880713">
        <w:rPr>
          <w:color w:val="1F1F1F"/>
        </w:rPr>
        <w:t>were</w:t>
      </w:r>
      <w:r w:rsidRPr="00442591">
        <w:rPr>
          <w:color w:val="1F1F1F"/>
        </w:rPr>
        <w:t xml:space="preserve"> evaluated</w:t>
      </w:r>
      <w:r w:rsidRPr="00BB1F51">
        <w:rPr>
          <w:color w:val="1F1F1F"/>
        </w:rPr>
        <w:t>,</w:t>
      </w:r>
      <w:r w:rsidRPr="00442591">
        <w:rPr>
          <w:color w:val="1F1F1F"/>
        </w:rPr>
        <w:t xml:space="preserve"> including naive baselines, Seasonal ARIMA (SARIMA), Exponential Smoothing (ETS), an ensemble of classical models, and a two-stage hybrid model that applies XGBoost to correct ETS residual errors using external economic variables.</w:t>
      </w:r>
    </w:p>
    <w:p w14:paraId="0CA7A717" w14:textId="5EEC2ABF" w:rsidR="00442591" w:rsidRPr="00442591" w:rsidRDefault="00442591" w:rsidP="00BB1F51">
      <w:pPr>
        <w:shd w:val="clear" w:color="auto" w:fill="FFFFFF"/>
        <w:spacing w:line="360" w:lineRule="auto"/>
        <w:rPr>
          <w:color w:val="1F1F1F"/>
        </w:rPr>
      </w:pPr>
      <w:r w:rsidRPr="00442591">
        <w:rPr>
          <w:color w:val="1F1F1F"/>
        </w:rPr>
        <w:t xml:space="preserve">The results demonstrate that the hybrid ETS + XGBoost model consistently produced the lowest forecasting error (MAPE) among all tested approaches, outperforming classical univariate and ensemble </w:t>
      </w:r>
      <w:r w:rsidR="00106A3C">
        <w:rPr>
          <w:color w:val="1F1F1F"/>
        </w:rPr>
        <w:t>models</w:t>
      </w:r>
      <w:r w:rsidRPr="00442591">
        <w:rPr>
          <w:color w:val="1F1F1F"/>
        </w:rPr>
        <w:t>.</w:t>
      </w:r>
    </w:p>
    <w:p w14:paraId="16C1E464" w14:textId="77777777" w:rsidR="00442591" w:rsidRPr="00442591" w:rsidRDefault="00442591" w:rsidP="00497960">
      <w:pPr>
        <w:shd w:val="clear" w:color="auto" w:fill="FFFFFF"/>
        <w:spacing w:before="240" w:after="240" w:line="360" w:lineRule="auto"/>
        <w:outlineLvl w:val="2"/>
        <w:rPr>
          <w:color w:val="1F1F1F"/>
        </w:rPr>
      </w:pPr>
      <w:r w:rsidRPr="00442591">
        <w:rPr>
          <w:b/>
          <w:bCs/>
          <w:color w:val="1F1F1F"/>
        </w:rPr>
        <w:t>2. Data Description</w:t>
      </w:r>
    </w:p>
    <w:p w14:paraId="276399AD" w14:textId="1D5A3A87" w:rsidR="00442591" w:rsidRPr="00BB1F51" w:rsidRDefault="00442591" w:rsidP="00BB1F51">
      <w:pPr>
        <w:pStyle w:val="ListParagraph"/>
        <w:numPr>
          <w:ilvl w:val="0"/>
          <w:numId w:val="13"/>
        </w:numPr>
        <w:shd w:val="clear" w:color="auto" w:fill="FFFFFF"/>
        <w:spacing w:after="0" w:line="360" w:lineRule="auto"/>
        <w:rPr>
          <w:rFonts w:ascii="Times New Roman" w:eastAsia="SimSun" w:hAnsi="Times New Roman" w:cs="Times New Roman"/>
          <w:color w:val="1F1F1F"/>
        </w:rPr>
      </w:pPr>
      <w:r w:rsidRPr="00BB1F51">
        <w:rPr>
          <w:rFonts w:ascii="Times New Roman" w:hAnsi="Times New Roman" w:cs="Times New Roman"/>
          <w:color w:val="1F1F1F"/>
        </w:rPr>
        <w:t>Target Variable</w:t>
      </w:r>
      <w:r w:rsidRPr="00BB1F51">
        <w:rPr>
          <w:rFonts w:ascii="Times New Roman" w:eastAsia="SimSun" w:hAnsi="Times New Roman" w:cs="Times New Roman"/>
          <w:b/>
          <w:bCs/>
          <w:color w:val="1F1F1F"/>
        </w:rPr>
        <w:t>：</w:t>
      </w:r>
    </w:p>
    <w:p w14:paraId="75B6AEF3" w14:textId="276AE7C4" w:rsidR="00442591" w:rsidRPr="00BB1F51" w:rsidRDefault="00442591" w:rsidP="00BB1F51">
      <w:pPr>
        <w:shd w:val="clear" w:color="auto" w:fill="FFFFFF"/>
        <w:spacing w:line="360" w:lineRule="auto"/>
        <w:rPr>
          <w:rFonts w:eastAsia="SimSun"/>
          <w:color w:val="1F1F1F"/>
        </w:rPr>
      </w:pPr>
      <w:r w:rsidRPr="00442591">
        <w:rPr>
          <w:color w:val="1F1F1F"/>
        </w:rPr>
        <w:t>Fuel Oil Producer Price Index (PPI)</w:t>
      </w:r>
      <w:r w:rsidRPr="00BB1F51">
        <w:rPr>
          <w:rFonts w:eastAsia="SimSun"/>
          <w:color w:val="1F1F1F"/>
          <w:lang w:val="en-US"/>
        </w:rPr>
        <w:t xml:space="preserve">: </w:t>
      </w:r>
      <w:r w:rsidRPr="00442591">
        <w:rPr>
          <w:color w:val="1F1F1F"/>
        </w:rPr>
        <w:t>APU000072511</w:t>
      </w:r>
    </w:p>
    <w:p w14:paraId="0265E2C5" w14:textId="77777777" w:rsidR="00442591" w:rsidRPr="00BB1F51" w:rsidRDefault="00442591" w:rsidP="00BB1F51">
      <w:pPr>
        <w:pStyle w:val="ListParagraph"/>
        <w:numPr>
          <w:ilvl w:val="0"/>
          <w:numId w:val="13"/>
        </w:numPr>
        <w:shd w:val="clear" w:color="auto" w:fill="FFFFFF"/>
        <w:spacing w:after="0" w:line="360" w:lineRule="auto"/>
        <w:rPr>
          <w:rFonts w:ascii="Times New Roman" w:hAnsi="Times New Roman" w:cs="Times New Roman"/>
          <w:color w:val="1F1F1F"/>
        </w:rPr>
      </w:pPr>
      <w:r w:rsidRPr="00BB1F51">
        <w:rPr>
          <w:rFonts w:ascii="Times New Roman" w:hAnsi="Times New Roman" w:cs="Times New Roman"/>
          <w:color w:val="1F1F1F"/>
        </w:rPr>
        <w:t>Exogenous Variables</w:t>
      </w:r>
    </w:p>
    <w:p w14:paraId="19B955E4" w14:textId="77777777" w:rsidR="00442591" w:rsidRPr="00442591" w:rsidRDefault="00442591" w:rsidP="00BB1F51">
      <w:pPr>
        <w:shd w:val="clear" w:color="auto" w:fill="FFFFFF"/>
        <w:spacing w:line="360" w:lineRule="auto"/>
        <w:rPr>
          <w:color w:val="1F1F1F"/>
        </w:rPr>
      </w:pPr>
      <w:r w:rsidRPr="00442591">
        <w:rPr>
          <w:color w:val="1F1F1F"/>
        </w:rPr>
        <w:t>Unemployment Rate: UNRATE</w:t>
      </w:r>
    </w:p>
    <w:p w14:paraId="7620D9C1" w14:textId="77777777" w:rsidR="00442591" w:rsidRPr="00442591" w:rsidRDefault="00442591" w:rsidP="00BB1F51">
      <w:pPr>
        <w:shd w:val="clear" w:color="auto" w:fill="FFFFFF"/>
        <w:spacing w:line="360" w:lineRule="auto"/>
        <w:rPr>
          <w:color w:val="1F1F1F"/>
        </w:rPr>
      </w:pPr>
      <w:r w:rsidRPr="00442591">
        <w:rPr>
          <w:color w:val="1F1F1F"/>
        </w:rPr>
        <w:t>Consumer Price Index: CPIAUCSL</w:t>
      </w:r>
    </w:p>
    <w:p w14:paraId="654EAE5B" w14:textId="77777777" w:rsidR="00442591" w:rsidRPr="00442591" w:rsidRDefault="00442591" w:rsidP="00BB1F51">
      <w:pPr>
        <w:shd w:val="clear" w:color="auto" w:fill="FFFFFF"/>
        <w:spacing w:line="360" w:lineRule="auto"/>
        <w:rPr>
          <w:color w:val="1F1F1F"/>
        </w:rPr>
      </w:pPr>
      <w:r w:rsidRPr="00442591">
        <w:rPr>
          <w:color w:val="1F1F1F"/>
        </w:rPr>
        <w:t>Crude Oil Spot Price (WTI): DCOILWTICO</w:t>
      </w:r>
    </w:p>
    <w:p w14:paraId="1683D2D2" w14:textId="77777777" w:rsidR="00442591" w:rsidRPr="00442591" w:rsidRDefault="00442591" w:rsidP="00BB1F51">
      <w:pPr>
        <w:shd w:val="clear" w:color="auto" w:fill="FFFFFF"/>
        <w:spacing w:line="360" w:lineRule="auto"/>
        <w:rPr>
          <w:color w:val="1F1F1F"/>
        </w:rPr>
      </w:pPr>
      <w:r w:rsidRPr="00442591">
        <w:rPr>
          <w:color w:val="1F1F1F"/>
        </w:rPr>
        <w:t>Industrial Production Index: INDPRO</w:t>
      </w:r>
    </w:p>
    <w:p w14:paraId="5A3B7C22" w14:textId="77777777" w:rsidR="00442591" w:rsidRPr="00442591" w:rsidRDefault="00442591" w:rsidP="00BB1F51">
      <w:pPr>
        <w:shd w:val="clear" w:color="auto" w:fill="FFFFFF"/>
        <w:spacing w:line="360" w:lineRule="auto"/>
        <w:rPr>
          <w:color w:val="1F1F1F"/>
        </w:rPr>
      </w:pPr>
      <w:r w:rsidRPr="00442591">
        <w:rPr>
          <w:color w:val="1F1F1F"/>
        </w:rPr>
        <w:lastRenderedPageBreak/>
        <w:t>These series were chosen based on economic theory linking energy price inflation to input costs, business activity, labor conditions, and consumer price pressures.</w:t>
      </w:r>
    </w:p>
    <w:p w14:paraId="371606E2" w14:textId="77777777" w:rsidR="00442591" w:rsidRPr="00497960" w:rsidRDefault="00442591" w:rsidP="00497960">
      <w:pPr>
        <w:pStyle w:val="ListParagraph"/>
        <w:numPr>
          <w:ilvl w:val="0"/>
          <w:numId w:val="13"/>
        </w:numPr>
        <w:shd w:val="clear" w:color="auto" w:fill="FFFFFF"/>
        <w:spacing w:line="360" w:lineRule="auto"/>
        <w:rPr>
          <w:rFonts w:ascii="Times New Roman" w:hAnsi="Times New Roman" w:cs="Times New Roman"/>
          <w:color w:val="1F1F1F"/>
        </w:rPr>
      </w:pPr>
      <w:r w:rsidRPr="00497960">
        <w:rPr>
          <w:rFonts w:ascii="Times New Roman" w:hAnsi="Times New Roman" w:cs="Times New Roman"/>
          <w:color w:val="1F1F1F"/>
        </w:rPr>
        <w:t>Data Processing</w:t>
      </w:r>
    </w:p>
    <w:p w14:paraId="74407E3A" w14:textId="73B87EB5" w:rsidR="00BB1F51" w:rsidRPr="003019BC" w:rsidRDefault="00442591" w:rsidP="00BB1F51">
      <w:pPr>
        <w:pStyle w:val="ListParagraph"/>
        <w:numPr>
          <w:ilvl w:val="0"/>
          <w:numId w:val="10"/>
        </w:numPr>
        <w:shd w:val="clear" w:color="auto" w:fill="FFFFFF"/>
        <w:spacing w:after="0" w:line="360" w:lineRule="auto"/>
        <w:rPr>
          <w:rFonts w:ascii="Times New Roman" w:eastAsia="Times New Roman" w:hAnsi="Times New Roman" w:cs="Times New Roman"/>
          <w:color w:val="1F1F1F"/>
          <w:kern w:val="0"/>
          <w14:ligatures w14:val="none"/>
        </w:rPr>
      </w:pPr>
      <w:r w:rsidRPr="00BB1F51">
        <w:rPr>
          <w:rFonts w:ascii="Times New Roman" w:eastAsia="Times New Roman" w:hAnsi="Times New Roman" w:cs="Times New Roman"/>
          <w:color w:val="1F1F1F"/>
          <w:kern w:val="0"/>
          <w14:ligatures w14:val="none"/>
        </w:rPr>
        <w:t>Missing values in exogenous data were resolved using linear interpolation and forward/backward filling. Below shows the information of the cleaned dataset:</w:t>
      </w:r>
    </w:p>
    <w:p w14:paraId="0D218A0C" w14:textId="77777777" w:rsidR="00BB1F51" w:rsidRPr="00BB1F51" w:rsidRDefault="00BB1F51" w:rsidP="00BB1F51">
      <w:pPr>
        <w:shd w:val="clear" w:color="auto" w:fill="FFFFFF"/>
        <w:spacing w:line="360" w:lineRule="auto"/>
        <w:rPr>
          <w:color w:val="1F1F1F"/>
        </w:rPr>
      </w:pPr>
    </w:p>
    <w:p w14:paraId="51E1FA3F" w14:textId="77777777"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Data columns (total 5 columns):</w:t>
      </w:r>
    </w:p>
    <w:p w14:paraId="654A11A2" w14:textId="30C2ED11"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   Column                       Non-Null Count  Dtype</w:t>
      </w:r>
    </w:p>
    <w:p w14:paraId="65937061" w14:textId="4244B662"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  ------                       --------------  -----</w:t>
      </w:r>
    </w:p>
    <w:p w14:paraId="644B3518" w14:textId="6115B467"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0   fuel-oil                     465 non-null    float64</w:t>
      </w:r>
    </w:p>
    <w:p w14:paraId="3440BD39" w14:textId="18B6B55A"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1   unemployment                 465 non-null    float64</w:t>
      </w:r>
    </w:p>
    <w:p w14:paraId="32A815F0" w14:textId="345800AF"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2   cpi                          465 non-null    float64</w:t>
      </w:r>
    </w:p>
    <w:p w14:paraId="755E770B" w14:textId="2F1EFBE3"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3   Crude Oil (WTI) Price        465 non-null    float64</w:t>
      </w:r>
    </w:p>
    <w:p w14:paraId="4409DF8D" w14:textId="52B203CA" w:rsidR="00442591" w:rsidRPr="00442591" w:rsidRDefault="00442591"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rPr>
          <w:rFonts w:ascii="Courier New" w:eastAsiaTheme="minorEastAsia" w:hAnsi="Courier New" w:cs="Courier New"/>
          <w:sz w:val="22"/>
          <w:szCs w:val="22"/>
        </w:rPr>
      </w:pPr>
      <w:r w:rsidRPr="00442591">
        <w:rPr>
          <w:rFonts w:ascii="Courier New" w:eastAsiaTheme="minorEastAsia" w:hAnsi="Courier New" w:cs="Courier New"/>
          <w:sz w:val="22"/>
          <w:szCs w:val="22"/>
        </w:rPr>
        <w:t>4   Industrial Production Index  465 non-null    float64</w:t>
      </w:r>
    </w:p>
    <w:p w14:paraId="679357FD" w14:textId="77777777" w:rsidR="00442591" w:rsidRPr="00442591" w:rsidRDefault="00442591" w:rsidP="00BB1F51">
      <w:pPr>
        <w:shd w:val="clear" w:color="auto" w:fill="FFFFFF"/>
        <w:spacing w:line="360" w:lineRule="auto"/>
        <w:rPr>
          <w:color w:val="1F1F1F"/>
        </w:rPr>
      </w:pPr>
    </w:p>
    <w:p w14:paraId="35F3412B" w14:textId="48A74E5E" w:rsidR="005C265B" w:rsidRPr="004F020D" w:rsidRDefault="004F020D" w:rsidP="00BB1F51">
      <w:pPr>
        <w:pStyle w:val="ListParagraph"/>
        <w:numPr>
          <w:ilvl w:val="0"/>
          <w:numId w:val="10"/>
        </w:numPr>
        <w:shd w:val="clear" w:color="auto" w:fill="FFFFFF"/>
        <w:spacing w:after="0" w:line="360" w:lineRule="auto"/>
        <w:rPr>
          <w:rFonts w:ascii="Times New Roman" w:eastAsia="Times New Roman" w:hAnsi="Times New Roman" w:cs="Times New Roman"/>
          <w:color w:val="1F1F1F"/>
          <w:kern w:val="0"/>
          <w14:ligatures w14:val="none"/>
        </w:rPr>
      </w:pPr>
      <w:r w:rsidRPr="004F020D">
        <w:rPr>
          <w:rFonts w:ascii="Times New Roman" w:hAnsi="Times New Roman" w:cs="Times New Roman"/>
        </w:rPr>
        <w:t>Low-correlation exogenous variables were screened out by computing their correlations with the target PPI series, and only variables with an absolute correlation coefficient greater than 0.4 were retained for modeling.</w:t>
      </w:r>
      <w:r>
        <w:rPr>
          <w:rFonts w:ascii="Times New Roman" w:hAnsi="Times New Roman" w:cs="Times New Roman"/>
        </w:rPr>
        <w:t xml:space="preserve"> </w:t>
      </w:r>
      <w:r w:rsidR="005C265B" w:rsidRPr="004F020D">
        <w:rPr>
          <w:rFonts w:ascii="Times New Roman" w:eastAsia="Times New Roman" w:hAnsi="Times New Roman" w:cs="Times New Roman"/>
          <w:color w:val="1F1F1F"/>
          <w:kern w:val="0"/>
          <w14:ligatures w14:val="none"/>
        </w:rPr>
        <w:t>The correlations are shown below:</w:t>
      </w:r>
    </w:p>
    <w:p w14:paraId="09EBD88C" w14:textId="77777777" w:rsidR="00BB1F51" w:rsidRPr="00BB1F51" w:rsidRDefault="00BB1F51" w:rsidP="00BB1F51">
      <w:pPr>
        <w:pStyle w:val="ListParagraph"/>
        <w:shd w:val="clear" w:color="auto" w:fill="FFFFFF"/>
        <w:spacing w:after="0" w:line="360" w:lineRule="auto"/>
        <w:ind w:left="785"/>
        <w:rPr>
          <w:rFonts w:ascii="Times New Roman" w:eastAsia="Times New Roman" w:hAnsi="Times New Roman" w:cs="Times New Roman"/>
          <w:color w:val="1F1F1F"/>
          <w:kern w:val="0"/>
          <w14:ligatures w14:val="none"/>
        </w:rPr>
      </w:pPr>
    </w:p>
    <w:p w14:paraId="4447DD13"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Correlation with PPI:</w:t>
      </w:r>
    </w:p>
    <w:p w14:paraId="13F904E3"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unemployment                   0.003260</w:t>
      </w:r>
    </w:p>
    <w:p w14:paraId="533D29EB"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cpi                            0.885557</w:t>
      </w:r>
    </w:p>
    <w:p w14:paraId="6C7DF1B6"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Crude Oil (WTI) Price          0.938668</w:t>
      </w:r>
    </w:p>
    <w:p w14:paraId="36AECF0D"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Industrial Production Index    0.826716</w:t>
      </w:r>
    </w:p>
    <w:p w14:paraId="6B49E9D5"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dtype: float64</w:t>
      </w:r>
    </w:p>
    <w:p w14:paraId="0D9C6E7E"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BB1F51">
        <w:rPr>
          <w:rFonts w:ascii="Courier New" w:hAnsi="Courier New" w:cs="Courier New"/>
          <w:sz w:val="22"/>
          <w:szCs w:val="22"/>
        </w:rPr>
        <w:t>Selected Exogenous Features: ['cpi', 'Crude Oil (WTI) Price', 'Industrial Production Index']</w:t>
      </w:r>
    </w:p>
    <w:p w14:paraId="7A1E0F1F" w14:textId="77777777" w:rsidR="005C265B" w:rsidRPr="00BB1F51" w:rsidRDefault="005C265B"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5"/>
      </w:pPr>
    </w:p>
    <w:p w14:paraId="6528D213" w14:textId="3FE09D8B" w:rsidR="00442591" w:rsidRPr="00BB1F51" w:rsidRDefault="00442591" w:rsidP="00BB1F51">
      <w:pPr>
        <w:pStyle w:val="ListParagraph"/>
        <w:numPr>
          <w:ilvl w:val="0"/>
          <w:numId w:val="10"/>
        </w:numPr>
        <w:shd w:val="clear" w:color="auto" w:fill="FFFFFF"/>
        <w:spacing w:after="0" w:line="360" w:lineRule="auto"/>
        <w:rPr>
          <w:rFonts w:ascii="Times New Roman" w:eastAsia="Times New Roman" w:hAnsi="Times New Roman" w:cs="Times New Roman"/>
          <w:color w:val="1F1F1F"/>
          <w:kern w:val="0"/>
          <w14:ligatures w14:val="none"/>
        </w:rPr>
      </w:pPr>
      <w:r w:rsidRPr="00BB1F51">
        <w:rPr>
          <w:rFonts w:ascii="Times New Roman" w:eastAsia="Times New Roman" w:hAnsi="Times New Roman" w:cs="Times New Roman"/>
          <w:color w:val="1F1F1F"/>
          <w:kern w:val="0"/>
          <w14:ligatures w14:val="none"/>
        </w:rPr>
        <w:t xml:space="preserve">Log-transformation </w:t>
      </w:r>
      <w:r w:rsidR="00106A3C">
        <w:rPr>
          <w:rFonts w:ascii="Times New Roman" w:eastAsia="Times New Roman" w:hAnsi="Times New Roman" w:cs="Times New Roman"/>
          <w:color w:val="1F1F1F"/>
          <w:kern w:val="0"/>
          <w14:ligatures w14:val="none"/>
        </w:rPr>
        <w:t>was</w:t>
      </w:r>
      <w:r w:rsidRPr="00BB1F51">
        <w:rPr>
          <w:rFonts w:ascii="Times New Roman" w:eastAsia="Times New Roman" w:hAnsi="Times New Roman" w:cs="Times New Roman"/>
          <w:color w:val="1F1F1F"/>
          <w:kern w:val="0"/>
          <w14:ligatures w14:val="none"/>
        </w:rPr>
        <w:t xml:space="preserve"> used to remove level-dependent volatility in the original PPI time series.</w:t>
      </w:r>
    </w:p>
    <w:p w14:paraId="70F520CC" w14:textId="7C48748E" w:rsidR="003D71E4" w:rsidRPr="00BB1F51" w:rsidRDefault="003D71E4" w:rsidP="00BB1F51">
      <w:pPr>
        <w:spacing w:line="360" w:lineRule="auto"/>
      </w:pPr>
      <w:r w:rsidRPr="00BB1F51">
        <w:rPr>
          <w:noProof/>
        </w:rPr>
        <w:lastRenderedPageBreak/>
        <w:drawing>
          <wp:inline distT="0" distB="0" distL="0" distR="0" wp14:anchorId="0B3AFC7E" wp14:editId="3DDAD362">
            <wp:extent cx="6526852" cy="1881351"/>
            <wp:effectExtent l="0" t="0" r="1270" b="0"/>
            <wp:docPr id="1394132278" name="Picture 3" descr="A graph showing the growth of fuel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2278" name="Picture 3" descr="A graph showing the growth of fuel pric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9777" cy="1882194"/>
                    </a:xfrm>
                    <a:prstGeom prst="rect">
                      <a:avLst/>
                    </a:prstGeom>
                    <a:noFill/>
                    <a:ln>
                      <a:noFill/>
                    </a:ln>
                  </pic:spPr>
                </pic:pic>
              </a:graphicData>
            </a:graphic>
          </wp:inline>
        </w:drawing>
      </w:r>
    </w:p>
    <w:p w14:paraId="48E37DD2" w14:textId="77777777" w:rsidR="003D71E4" w:rsidRPr="00BB1F51" w:rsidRDefault="003D71E4" w:rsidP="00BB1F51">
      <w:pPr>
        <w:spacing w:line="360" w:lineRule="auto"/>
      </w:pPr>
    </w:p>
    <w:p w14:paraId="01B34F89" w14:textId="77777777" w:rsidR="003D71E4" w:rsidRPr="00BB1F51" w:rsidRDefault="003D71E4" w:rsidP="00BB1F51">
      <w:pPr>
        <w:spacing w:line="360" w:lineRule="auto"/>
      </w:pPr>
    </w:p>
    <w:p w14:paraId="0A467840" w14:textId="5F82016D" w:rsidR="003D71E4" w:rsidRPr="00BB1F51" w:rsidRDefault="003D71E4" w:rsidP="00BB1F51">
      <w:pPr>
        <w:spacing w:line="360" w:lineRule="auto"/>
      </w:pPr>
      <w:r w:rsidRPr="00BB1F51">
        <w:rPr>
          <w:noProof/>
        </w:rPr>
        <w:drawing>
          <wp:inline distT="0" distB="0" distL="0" distR="0" wp14:anchorId="7B4544FE" wp14:editId="047FF9DC">
            <wp:extent cx="6580891" cy="1849821"/>
            <wp:effectExtent l="0" t="0" r="0" b="4445"/>
            <wp:docPr id="1020249972" name="Picture 4" descr="A graph showing the growth of fuel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9972" name="Picture 4" descr="A graph showing the growth of fuel pric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0891" cy="1849821"/>
                    </a:xfrm>
                    <a:prstGeom prst="rect">
                      <a:avLst/>
                    </a:prstGeom>
                    <a:noFill/>
                    <a:ln>
                      <a:noFill/>
                    </a:ln>
                  </pic:spPr>
                </pic:pic>
              </a:graphicData>
            </a:graphic>
          </wp:inline>
        </w:drawing>
      </w:r>
    </w:p>
    <w:p w14:paraId="0F6F4D03" w14:textId="77777777" w:rsidR="005C265B" w:rsidRPr="00BB1F51" w:rsidRDefault="005C265B" w:rsidP="00BB1F51">
      <w:pPr>
        <w:shd w:val="clear" w:color="auto" w:fill="FFFFFF"/>
        <w:spacing w:line="360" w:lineRule="auto"/>
        <w:ind w:left="425"/>
        <w:rPr>
          <w:color w:val="1F1F1F"/>
        </w:rPr>
      </w:pPr>
    </w:p>
    <w:p w14:paraId="6A102281" w14:textId="3BA180DC" w:rsidR="00442591" w:rsidRPr="00BB1F51" w:rsidRDefault="004F020D" w:rsidP="00BB1F51">
      <w:pPr>
        <w:pStyle w:val="ListParagraph"/>
        <w:numPr>
          <w:ilvl w:val="0"/>
          <w:numId w:val="10"/>
        </w:numPr>
        <w:shd w:val="clear" w:color="auto" w:fill="FFFFFF"/>
        <w:spacing w:after="0" w:line="360" w:lineRule="auto"/>
        <w:rPr>
          <w:rFonts w:ascii="Times New Roman" w:eastAsia="Times New Roman" w:hAnsi="Times New Roman" w:cs="Times New Roman"/>
          <w:color w:val="1F1F1F"/>
          <w:kern w:val="0"/>
          <w14:ligatures w14:val="none"/>
        </w:rPr>
      </w:pPr>
      <w:r>
        <w:rPr>
          <w:rFonts w:ascii="Times New Roman" w:eastAsia="Times New Roman" w:hAnsi="Times New Roman" w:cs="Times New Roman"/>
          <w:color w:val="1F1F1F"/>
          <w:kern w:val="0"/>
          <w14:ligatures w14:val="none"/>
        </w:rPr>
        <w:t xml:space="preserve">Stationarity </w:t>
      </w:r>
      <w:r w:rsidR="00880713">
        <w:rPr>
          <w:rFonts w:ascii="Times New Roman" w:eastAsia="Times New Roman" w:hAnsi="Times New Roman" w:cs="Times New Roman"/>
          <w:color w:val="1F1F1F"/>
          <w:kern w:val="0"/>
          <w14:ligatures w14:val="none"/>
        </w:rPr>
        <w:t>was</w:t>
      </w:r>
      <w:r>
        <w:rPr>
          <w:rFonts w:ascii="Times New Roman" w:eastAsia="Times New Roman" w:hAnsi="Times New Roman" w:cs="Times New Roman"/>
          <w:color w:val="1F1F1F"/>
          <w:kern w:val="0"/>
          <w14:ligatures w14:val="none"/>
        </w:rPr>
        <w:t xml:space="preserve"> evaluated by plotting</w:t>
      </w:r>
      <w:r w:rsidR="003D71E4" w:rsidRPr="00BB1F51">
        <w:rPr>
          <w:rFonts w:ascii="Times New Roman" w:eastAsia="Times New Roman" w:hAnsi="Times New Roman" w:cs="Times New Roman"/>
          <w:color w:val="1F1F1F"/>
          <w:kern w:val="0"/>
          <w14:ligatures w14:val="none"/>
        </w:rPr>
        <w:t xml:space="preserve"> the ACF of Log PPI and also </w:t>
      </w:r>
      <w:r w:rsidR="00BB1F51">
        <w:rPr>
          <w:rFonts w:ascii="Times New Roman" w:eastAsia="Times New Roman" w:hAnsi="Times New Roman" w:cs="Times New Roman"/>
          <w:color w:val="1F1F1F"/>
          <w:kern w:val="0"/>
          <w14:ligatures w14:val="none"/>
        </w:rPr>
        <w:t>perform</w:t>
      </w:r>
      <w:r>
        <w:rPr>
          <w:rFonts w:ascii="Times New Roman" w:eastAsia="Times New Roman" w:hAnsi="Times New Roman" w:cs="Times New Roman"/>
          <w:color w:val="1F1F1F"/>
          <w:kern w:val="0"/>
          <w14:ligatures w14:val="none"/>
        </w:rPr>
        <w:t>ing</w:t>
      </w:r>
      <w:r w:rsidR="003D71E4" w:rsidRPr="00BB1F51">
        <w:rPr>
          <w:rFonts w:ascii="Times New Roman" w:eastAsia="Times New Roman" w:hAnsi="Times New Roman" w:cs="Times New Roman"/>
          <w:color w:val="1F1F1F"/>
          <w:kern w:val="0"/>
          <w14:ligatures w14:val="none"/>
        </w:rPr>
        <w:t xml:space="preserve"> the </w:t>
      </w:r>
      <w:r w:rsidR="003D71E4" w:rsidRPr="00BB1F51">
        <w:rPr>
          <w:rFonts w:ascii="Times New Roman" w:hAnsi="Times New Roman" w:cs="Times New Roman"/>
          <w:color w:val="1F1F1F"/>
          <w:shd w:val="clear" w:color="auto" w:fill="FFFFFF"/>
        </w:rPr>
        <w:t xml:space="preserve">Augmented Dickey-Fuller tests (ADF). The ACF plot shows significant autocorrelations, and the p-value in the ADF test is greater than 0.05, suggesting that the time series lacks stationarity. So the first difference </w:t>
      </w:r>
      <w:r w:rsidR="00880713">
        <w:rPr>
          <w:rFonts w:ascii="Times New Roman" w:hAnsi="Times New Roman" w:cs="Times New Roman"/>
          <w:color w:val="1F1F1F"/>
          <w:shd w:val="clear" w:color="auto" w:fill="FFFFFF"/>
        </w:rPr>
        <w:t xml:space="preserve">was taken </w:t>
      </w:r>
      <w:r w:rsidR="003D71E4" w:rsidRPr="00BB1F51">
        <w:rPr>
          <w:rFonts w:ascii="Times New Roman" w:hAnsi="Times New Roman" w:cs="Times New Roman"/>
          <w:color w:val="1F1F1F"/>
          <w:shd w:val="clear" w:color="auto" w:fill="FFFFFF"/>
        </w:rPr>
        <w:t xml:space="preserve">to achieve stationarity. </w:t>
      </w:r>
    </w:p>
    <w:p w14:paraId="039B02EB" w14:textId="2A162AB0" w:rsidR="00261A5A" w:rsidRPr="00BB1F51" w:rsidRDefault="00261A5A" w:rsidP="00BB1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5"/>
        <w:rPr>
          <w:rFonts w:ascii="Times New Roman" w:eastAsia="Times New Roman" w:hAnsi="Times New Roman" w:cs="Times New Roman"/>
          <w:kern w:val="0"/>
          <w14:ligatures w14:val="none"/>
        </w:rPr>
      </w:pPr>
    </w:p>
    <w:p w14:paraId="6CCBB361" w14:textId="3C56882B" w:rsidR="00261A5A" w:rsidRPr="00BB1F51" w:rsidRDefault="00261A5A" w:rsidP="00BB1F51">
      <w:pPr>
        <w:pStyle w:val="ListParagraph"/>
        <w:spacing w:after="0" w:line="360" w:lineRule="auto"/>
        <w:ind w:left="785"/>
        <w:jc w:val="center"/>
        <w:rPr>
          <w:rFonts w:ascii="Times New Roman" w:eastAsia="Times New Roman" w:hAnsi="Times New Roman" w:cs="Times New Roman"/>
          <w:kern w:val="0"/>
          <w14:ligatures w14:val="none"/>
        </w:rPr>
      </w:pPr>
      <w:r w:rsidRPr="00BB1F51">
        <w:rPr>
          <w:rFonts w:ascii="Times New Roman" w:hAnsi="Times New Roman" w:cs="Times New Roman"/>
          <w:noProof/>
        </w:rPr>
        <w:lastRenderedPageBreak/>
        <w:drawing>
          <wp:inline distT="0" distB="0" distL="0" distR="0" wp14:anchorId="2AD9E10A" wp14:editId="37B32416">
            <wp:extent cx="3934208" cy="3016665"/>
            <wp:effectExtent l="0" t="0" r="3175" b="6350"/>
            <wp:docPr id="1037642743" name="Picture 5" descr="A graph of a graph of fuel 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42743" name="Picture 5" descr="A graph of a graph of fuel oi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5561" cy="3017702"/>
                    </a:xfrm>
                    <a:prstGeom prst="rect">
                      <a:avLst/>
                    </a:prstGeom>
                    <a:noFill/>
                    <a:ln>
                      <a:noFill/>
                    </a:ln>
                  </pic:spPr>
                </pic:pic>
              </a:graphicData>
            </a:graphic>
          </wp:inline>
        </w:drawing>
      </w:r>
    </w:p>
    <w:p w14:paraId="5DAD916A" w14:textId="77777777" w:rsidR="00261A5A" w:rsidRPr="00BB1F51" w:rsidRDefault="00261A5A" w:rsidP="00BB1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5"/>
        <w:rPr>
          <w:rFonts w:ascii="Courier New" w:eastAsia="Times New Roman" w:hAnsi="Courier New" w:cs="Courier New"/>
          <w:kern w:val="0"/>
          <w:sz w:val="22"/>
          <w:szCs w:val="22"/>
          <w14:ligatures w14:val="none"/>
        </w:rPr>
      </w:pPr>
      <w:r w:rsidRPr="00BB1F51">
        <w:rPr>
          <w:rFonts w:ascii="Courier New" w:eastAsia="Times New Roman" w:hAnsi="Courier New" w:cs="Courier New"/>
          <w:kern w:val="0"/>
          <w:sz w:val="22"/>
          <w:szCs w:val="22"/>
          <w14:ligatures w14:val="none"/>
        </w:rPr>
        <w:t>Original Series Stationarity Test:</w:t>
      </w:r>
    </w:p>
    <w:p w14:paraId="66B06F0A" w14:textId="77777777" w:rsidR="00261A5A" w:rsidRPr="00BB1F51" w:rsidRDefault="00261A5A" w:rsidP="00BB1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5"/>
        <w:rPr>
          <w:rFonts w:ascii="Courier New" w:eastAsia="Times New Roman" w:hAnsi="Courier New" w:cs="Courier New"/>
          <w:kern w:val="0"/>
          <w:sz w:val="22"/>
          <w:szCs w:val="22"/>
          <w14:ligatures w14:val="none"/>
        </w:rPr>
      </w:pPr>
      <w:r w:rsidRPr="00BB1F51">
        <w:rPr>
          <w:rFonts w:ascii="Courier New" w:eastAsia="Times New Roman" w:hAnsi="Courier New" w:cs="Courier New"/>
          <w:kern w:val="0"/>
          <w:sz w:val="22"/>
          <w:szCs w:val="22"/>
          <w14:ligatures w14:val="none"/>
        </w:rPr>
        <w:t>ADF Statistic: -1.4299, p-value: 0.5679</w:t>
      </w:r>
    </w:p>
    <w:p w14:paraId="11E8E544" w14:textId="77777777" w:rsidR="00BB1F51" w:rsidRPr="00497960" w:rsidRDefault="00BB1F51" w:rsidP="00497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2C57D6E7" w14:textId="2EB01029" w:rsidR="00261A5A" w:rsidRPr="00BB1F51" w:rsidRDefault="00261A5A" w:rsidP="00BB1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5"/>
        <w:rPr>
          <w:rFonts w:ascii="Times New Roman" w:eastAsia="Times New Roman" w:hAnsi="Times New Roman" w:cs="Times New Roman"/>
          <w:kern w:val="0"/>
          <w14:ligatures w14:val="none"/>
        </w:rPr>
      </w:pPr>
      <w:r w:rsidRPr="00BB1F51">
        <w:rPr>
          <w:rFonts w:ascii="Times New Roman" w:eastAsia="Times New Roman" w:hAnsi="Times New Roman" w:cs="Times New Roman"/>
          <w:kern w:val="0"/>
          <w14:ligatures w14:val="none"/>
        </w:rPr>
        <w:t>The ACF plot and ADF test of Log PPI after differencing show stationarity</w:t>
      </w:r>
      <w:r w:rsidR="00BB1F51">
        <w:rPr>
          <w:rFonts w:ascii="Times New Roman" w:eastAsia="Times New Roman" w:hAnsi="Times New Roman" w:cs="Times New Roman"/>
          <w:kern w:val="0"/>
          <w14:ligatures w14:val="none"/>
        </w:rPr>
        <w:t xml:space="preserve">: </w:t>
      </w:r>
    </w:p>
    <w:p w14:paraId="48E9F39B" w14:textId="77777777" w:rsidR="00261A5A" w:rsidRPr="00BB1F51" w:rsidRDefault="00261A5A" w:rsidP="00BB1F5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85"/>
        <w:rPr>
          <w:rFonts w:ascii="Times New Roman" w:eastAsia="Times New Roman" w:hAnsi="Times New Roman" w:cs="Times New Roman"/>
          <w:kern w:val="0"/>
          <w14:ligatures w14:val="none"/>
        </w:rPr>
      </w:pPr>
    </w:p>
    <w:p w14:paraId="05EF85F6" w14:textId="56777E4E" w:rsidR="00261A5A" w:rsidRPr="00261A5A" w:rsidRDefault="00261A5A" w:rsidP="00BB1F51">
      <w:pPr>
        <w:spacing w:line="360" w:lineRule="auto"/>
        <w:jc w:val="center"/>
      </w:pPr>
      <w:r w:rsidRPr="00BB1F51">
        <w:rPr>
          <w:noProof/>
        </w:rPr>
        <w:drawing>
          <wp:inline distT="0" distB="0" distL="0" distR="0" wp14:anchorId="22C79475" wp14:editId="10643683">
            <wp:extent cx="3604895" cy="2764155"/>
            <wp:effectExtent l="0" t="0" r="1905" b="4445"/>
            <wp:docPr id="758684032" name="Picture 6" descr="A graph of a graph showing the difference between fuel oil and g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4032" name="Picture 6" descr="A graph of a graph showing the difference between fuel oil and ga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4895" cy="2764155"/>
                    </a:xfrm>
                    <a:prstGeom prst="rect">
                      <a:avLst/>
                    </a:prstGeom>
                    <a:noFill/>
                    <a:ln>
                      <a:noFill/>
                    </a:ln>
                  </pic:spPr>
                </pic:pic>
              </a:graphicData>
            </a:graphic>
          </wp:inline>
        </w:drawing>
      </w:r>
    </w:p>
    <w:p w14:paraId="50F2E5E3" w14:textId="77777777" w:rsidR="00261A5A" w:rsidRPr="00261A5A" w:rsidRDefault="00261A5A" w:rsidP="00497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261A5A">
        <w:rPr>
          <w:rFonts w:ascii="Courier New" w:hAnsi="Courier New" w:cs="Courier New"/>
          <w:sz w:val="22"/>
          <w:szCs w:val="22"/>
        </w:rPr>
        <w:t>Differenced Series Stationarity Tests:</w:t>
      </w:r>
    </w:p>
    <w:p w14:paraId="116A2629" w14:textId="77777777" w:rsidR="00261A5A" w:rsidRPr="00497960" w:rsidRDefault="00261A5A" w:rsidP="00497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2"/>
          <w:szCs w:val="22"/>
        </w:rPr>
      </w:pPr>
      <w:r w:rsidRPr="00261A5A">
        <w:rPr>
          <w:rFonts w:ascii="Courier New" w:hAnsi="Courier New" w:cs="Courier New"/>
          <w:sz w:val="22"/>
          <w:szCs w:val="22"/>
        </w:rPr>
        <w:t>ADF Statistic: -15.2333, p-value: 0.0000</w:t>
      </w:r>
    </w:p>
    <w:p w14:paraId="6C4EE2B9" w14:textId="77777777" w:rsidR="00497960" w:rsidRPr="00261A5A" w:rsidRDefault="00497960"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14:paraId="0E6A2374" w14:textId="77777777" w:rsidR="003D71E4" w:rsidRPr="00BB1F51" w:rsidRDefault="003D71E4" w:rsidP="00BB1F51">
      <w:pPr>
        <w:shd w:val="clear" w:color="auto" w:fill="FFFFFF"/>
        <w:spacing w:line="360" w:lineRule="auto"/>
        <w:rPr>
          <w:color w:val="1F1F1F"/>
        </w:rPr>
      </w:pPr>
    </w:p>
    <w:p w14:paraId="08089585" w14:textId="77777777" w:rsidR="00442591" w:rsidRPr="00442591" w:rsidRDefault="00442591" w:rsidP="00497960">
      <w:pPr>
        <w:shd w:val="clear" w:color="auto" w:fill="FFFFFF"/>
        <w:spacing w:after="240" w:line="360" w:lineRule="auto"/>
        <w:outlineLvl w:val="2"/>
        <w:rPr>
          <w:color w:val="1F1F1F"/>
        </w:rPr>
      </w:pPr>
      <w:r w:rsidRPr="00442591">
        <w:rPr>
          <w:b/>
          <w:bCs/>
          <w:color w:val="1F1F1F"/>
        </w:rPr>
        <w:lastRenderedPageBreak/>
        <w:t>3. Models and Methods</w:t>
      </w:r>
    </w:p>
    <w:p w14:paraId="4C5CBCF3" w14:textId="77777777" w:rsidR="00442591" w:rsidRPr="003019BC" w:rsidRDefault="00442591" w:rsidP="00BB1F51">
      <w:pPr>
        <w:shd w:val="clear" w:color="auto" w:fill="FFFFFF"/>
        <w:spacing w:line="360" w:lineRule="auto"/>
        <w:rPr>
          <w:b/>
          <w:bCs/>
          <w:color w:val="1F1F1F"/>
        </w:rPr>
      </w:pPr>
      <w:r w:rsidRPr="003019BC">
        <w:rPr>
          <w:b/>
          <w:bCs/>
          <w:color w:val="1F1F1F"/>
        </w:rPr>
        <w:t>3.1 Benchmark Models</w:t>
      </w:r>
    </w:p>
    <w:p w14:paraId="1CC98182" w14:textId="77777777" w:rsidR="00442591" w:rsidRPr="00442591" w:rsidRDefault="00442591" w:rsidP="00BB1F51">
      <w:pPr>
        <w:shd w:val="clear" w:color="auto" w:fill="FFFFFF"/>
        <w:spacing w:line="360" w:lineRule="auto"/>
        <w:rPr>
          <w:color w:val="1F1F1F"/>
        </w:rPr>
      </w:pPr>
      <w:r w:rsidRPr="00442591">
        <w:rPr>
          <w:color w:val="1F1F1F"/>
        </w:rPr>
        <w:t>Several baseline probabilistic forecasting models were evaluated:</w:t>
      </w:r>
    </w:p>
    <w:p w14:paraId="6169F9A1" w14:textId="3086C1A8" w:rsidR="00261A5A" w:rsidRPr="00442591" w:rsidRDefault="00442591" w:rsidP="00BB1F51">
      <w:pPr>
        <w:numPr>
          <w:ilvl w:val="0"/>
          <w:numId w:val="1"/>
        </w:numPr>
        <w:shd w:val="clear" w:color="auto" w:fill="FFFFFF"/>
        <w:spacing w:line="360" w:lineRule="auto"/>
        <w:rPr>
          <w:color w:val="1F1F1F"/>
        </w:rPr>
      </w:pPr>
      <w:r w:rsidRPr="00442591">
        <w:rPr>
          <w:color w:val="1F1F1F"/>
        </w:rPr>
        <w:t>Naive Last Value</w:t>
      </w:r>
    </w:p>
    <w:p w14:paraId="5C3C31BF" w14:textId="77777777" w:rsidR="00442591" w:rsidRPr="00442591" w:rsidRDefault="00442591" w:rsidP="00BB1F51">
      <w:pPr>
        <w:numPr>
          <w:ilvl w:val="0"/>
          <w:numId w:val="1"/>
        </w:numPr>
        <w:shd w:val="clear" w:color="auto" w:fill="FFFFFF"/>
        <w:spacing w:line="360" w:lineRule="auto"/>
        <w:rPr>
          <w:color w:val="1F1F1F"/>
        </w:rPr>
      </w:pPr>
      <w:r w:rsidRPr="00442591">
        <w:rPr>
          <w:color w:val="1F1F1F"/>
        </w:rPr>
        <w:t>Naive Drift</w:t>
      </w:r>
    </w:p>
    <w:p w14:paraId="0C4D64A6" w14:textId="77777777" w:rsidR="00442591" w:rsidRPr="00442591" w:rsidRDefault="00442591" w:rsidP="00BB1F51">
      <w:pPr>
        <w:numPr>
          <w:ilvl w:val="0"/>
          <w:numId w:val="1"/>
        </w:numPr>
        <w:shd w:val="clear" w:color="auto" w:fill="FFFFFF"/>
        <w:spacing w:line="360" w:lineRule="auto"/>
        <w:rPr>
          <w:color w:val="1F1F1F"/>
        </w:rPr>
      </w:pPr>
      <w:r w:rsidRPr="00442591">
        <w:rPr>
          <w:color w:val="1F1F1F"/>
        </w:rPr>
        <w:t>Naive Seasonal (12-month repetition)</w:t>
      </w:r>
    </w:p>
    <w:p w14:paraId="3AD3773D" w14:textId="0C13BCA3" w:rsidR="00261A5A" w:rsidRPr="00BB1F51" w:rsidRDefault="00442591" w:rsidP="00BB1F51">
      <w:pPr>
        <w:shd w:val="clear" w:color="auto" w:fill="FFFFFF"/>
        <w:spacing w:line="360" w:lineRule="auto"/>
        <w:rPr>
          <w:color w:val="1F1F1F"/>
        </w:rPr>
      </w:pPr>
      <w:r w:rsidRPr="00442591">
        <w:rPr>
          <w:color w:val="1F1F1F"/>
        </w:rPr>
        <w:t>These serve as error floors for evaluating the effectiveness of more advanced techniques.</w:t>
      </w:r>
      <w:r w:rsidR="00261A5A" w:rsidRPr="00BB1F51">
        <w:rPr>
          <w:color w:val="1F1F1F"/>
        </w:rPr>
        <w:t xml:space="preserve"> The graphs of the results of the benchmark models are shown below:</w:t>
      </w:r>
    </w:p>
    <w:p w14:paraId="1C2A516F" w14:textId="2F52DD95" w:rsidR="00BA0F29" w:rsidRDefault="00BA0F29" w:rsidP="00BA0F29">
      <w:r>
        <w:rPr>
          <w:noProof/>
        </w:rPr>
        <w:drawing>
          <wp:inline distT="0" distB="0" distL="0" distR="0" wp14:anchorId="268AD08B" wp14:editId="190B6117">
            <wp:extent cx="5943600" cy="1673860"/>
            <wp:effectExtent l="0" t="0" r="0" b="2540"/>
            <wp:docPr id="1645884445" name="Picture 3"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4445" name="Picture 3"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1E82CAE5" w14:textId="1AADF6B8" w:rsidR="00BA0F29" w:rsidRDefault="00BA0F29" w:rsidP="00BA0F29">
      <w:r>
        <w:rPr>
          <w:noProof/>
        </w:rPr>
        <w:drawing>
          <wp:inline distT="0" distB="0" distL="0" distR="0" wp14:anchorId="366F2396" wp14:editId="64987F87">
            <wp:extent cx="5943600" cy="1673860"/>
            <wp:effectExtent l="0" t="0" r="0" b="2540"/>
            <wp:docPr id="1348090996" name="Picture 2"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90996" name="Picture 2" descr="A graph showing the growth of the stock marke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1AAE762E" w14:textId="20740B45" w:rsidR="00BA0F29" w:rsidRDefault="00BA0F29" w:rsidP="00BA0F29">
      <w:r>
        <w:rPr>
          <w:noProof/>
        </w:rPr>
        <w:drawing>
          <wp:inline distT="0" distB="0" distL="0" distR="0" wp14:anchorId="60B50915" wp14:editId="49614585">
            <wp:extent cx="5943600" cy="1673860"/>
            <wp:effectExtent l="0" t="0" r="0" b="2540"/>
            <wp:docPr id="1036934719" name="Picture 1" descr="A graph showing the average of the average of the average of the average of the average of the average of the average of the average of the average of the average of the average of the average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4719" name="Picture 1" descr="A graph showing the average of the average of the average of the average of the average of the average of the average of the average of the average of the average of the average of the average of&#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2802B0A7" w14:textId="07385955" w:rsidR="00261A5A" w:rsidRPr="00261A5A" w:rsidRDefault="00261A5A" w:rsidP="00BB1F51">
      <w:pPr>
        <w:spacing w:line="360" w:lineRule="auto"/>
      </w:pPr>
    </w:p>
    <w:p w14:paraId="0A3FCA5E" w14:textId="17C7D2FF" w:rsidR="00261A5A" w:rsidRPr="00261A5A" w:rsidRDefault="00261A5A" w:rsidP="00BB1F51">
      <w:pPr>
        <w:spacing w:line="360" w:lineRule="auto"/>
      </w:pPr>
    </w:p>
    <w:p w14:paraId="2F0B9EBE" w14:textId="77777777" w:rsidR="00497960" w:rsidRPr="00442591" w:rsidRDefault="00497960" w:rsidP="00BB1F51">
      <w:pPr>
        <w:shd w:val="clear" w:color="auto" w:fill="FFFFFF"/>
        <w:spacing w:line="360" w:lineRule="auto"/>
        <w:rPr>
          <w:color w:val="1F1F1F"/>
        </w:rPr>
      </w:pPr>
    </w:p>
    <w:p w14:paraId="764B7205" w14:textId="77777777" w:rsidR="00442591" w:rsidRPr="00442591" w:rsidRDefault="00442591" w:rsidP="00BB1F51">
      <w:pPr>
        <w:shd w:val="clear" w:color="auto" w:fill="FFFFFF"/>
        <w:spacing w:line="360" w:lineRule="auto"/>
        <w:rPr>
          <w:color w:val="1F1F1F"/>
        </w:rPr>
      </w:pPr>
      <w:r w:rsidRPr="00442591">
        <w:rPr>
          <w:b/>
          <w:bCs/>
          <w:color w:val="1F1F1F"/>
        </w:rPr>
        <w:lastRenderedPageBreak/>
        <w:t>3.2 Classical Models</w:t>
      </w:r>
    </w:p>
    <w:p w14:paraId="47621D0E" w14:textId="48B0D860" w:rsidR="00442591" w:rsidRPr="00BB1F51" w:rsidRDefault="00442591" w:rsidP="00BB1F51">
      <w:pPr>
        <w:pStyle w:val="ListParagraph"/>
        <w:numPr>
          <w:ilvl w:val="0"/>
          <w:numId w:val="12"/>
        </w:numPr>
        <w:shd w:val="clear" w:color="auto" w:fill="FFFFFF"/>
        <w:spacing w:after="0" w:line="360" w:lineRule="auto"/>
        <w:rPr>
          <w:rFonts w:ascii="Times New Roman" w:eastAsia="Times New Roman" w:hAnsi="Times New Roman" w:cs="Times New Roman"/>
          <w:color w:val="1F1F1F"/>
          <w:kern w:val="0"/>
          <w14:ligatures w14:val="none"/>
        </w:rPr>
      </w:pPr>
      <w:r w:rsidRPr="00BB1F51">
        <w:rPr>
          <w:rFonts w:ascii="Times New Roman" w:eastAsia="Times New Roman" w:hAnsi="Times New Roman" w:cs="Times New Roman"/>
          <w:color w:val="1F1F1F"/>
          <w:kern w:val="0"/>
          <w14:ligatures w14:val="none"/>
        </w:rPr>
        <w:t>SARIMA: Seasonal ARIMA models were fit</w:t>
      </w:r>
      <w:r w:rsidR="00106A3C">
        <w:rPr>
          <w:rFonts w:ascii="Times New Roman" w:eastAsia="Times New Roman" w:hAnsi="Times New Roman" w:cs="Times New Roman"/>
          <w:color w:val="1F1F1F"/>
          <w:kern w:val="0"/>
          <w14:ligatures w14:val="none"/>
        </w:rPr>
        <w:t>ted</w:t>
      </w:r>
      <w:r w:rsidRPr="00BB1F51">
        <w:rPr>
          <w:rFonts w:ascii="Times New Roman" w:eastAsia="Times New Roman" w:hAnsi="Times New Roman" w:cs="Times New Roman"/>
          <w:color w:val="1F1F1F"/>
          <w:kern w:val="0"/>
          <w14:ligatures w14:val="none"/>
        </w:rPr>
        <w:t xml:space="preserve"> using automated hyperparameter selection via AutoARIMA.</w:t>
      </w:r>
    </w:p>
    <w:p w14:paraId="1A0189DD" w14:textId="77777777" w:rsidR="00442591" w:rsidRPr="00442591" w:rsidRDefault="00442591" w:rsidP="00BB1F51">
      <w:pPr>
        <w:numPr>
          <w:ilvl w:val="0"/>
          <w:numId w:val="2"/>
        </w:numPr>
        <w:shd w:val="clear" w:color="auto" w:fill="FFFFFF"/>
        <w:spacing w:line="360" w:lineRule="auto"/>
        <w:rPr>
          <w:color w:val="1F1F1F"/>
        </w:rPr>
      </w:pPr>
      <w:r w:rsidRPr="00442591">
        <w:rPr>
          <w:color w:val="1F1F1F"/>
        </w:rPr>
        <w:t>Seasonal period: 12 months</w:t>
      </w:r>
    </w:p>
    <w:p w14:paraId="4812ACB7" w14:textId="77777777" w:rsidR="00442591" w:rsidRPr="00BB1F51" w:rsidRDefault="00442591" w:rsidP="00BB1F51">
      <w:pPr>
        <w:pStyle w:val="ListParagraph"/>
        <w:numPr>
          <w:ilvl w:val="0"/>
          <w:numId w:val="12"/>
        </w:numPr>
        <w:shd w:val="clear" w:color="auto" w:fill="FFFFFF"/>
        <w:spacing w:after="0" w:line="360" w:lineRule="auto"/>
        <w:rPr>
          <w:rFonts w:ascii="Times New Roman" w:eastAsia="Times New Roman" w:hAnsi="Times New Roman" w:cs="Times New Roman"/>
          <w:color w:val="1F1F1F"/>
          <w:kern w:val="0"/>
          <w14:ligatures w14:val="none"/>
        </w:rPr>
      </w:pPr>
      <w:r w:rsidRPr="00BB1F51">
        <w:rPr>
          <w:rFonts w:ascii="Times New Roman" w:eastAsia="Times New Roman" w:hAnsi="Times New Roman" w:cs="Times New Roman"/>
          <w:color w:val="1F1F1F"/>
          <w:kern w:val="0"/>
          <w14:ligatures w14:val="none"/>
        </w:rPr>
        <w:t>ETS: Automatic Holt-Winters exponential smoothing using AutoETS</w:t>
      </w:r>
    </w:p>
    <w:p w14:paraId="0F78C29F" w14:textId="77777777" w:rsidR="00442591" w:rsidRPr="00442591" w:rsidRDefault="00442591" w:rsidP="00BB1F51">
      <w:pPr>
        <w:numPr>
          <w:ilvl w:val="0"/>
          <w:numId w:val="3"/>
        </w:numPr>
        <w:shd w:val="clear" w:color="auto" w:fill="FFFFFF"/>
        <w:spacing w:line="360" w:lineRule="auto"/>
        <w:rPr>
          <w:color w:val="1F1F1F"/>
        </w:rPr>
      </w:pPr>
      <w:r w:rsidRPr="00442591">
        <w:rPr>
          <w:color w:val="1F1F1F"/>
        </w:rPr>
        <w:t>Searches over additive/multiplicative trend and seasonality combinations</w:t>
      </w:r>
    </w:p>
    <w:p w14:paraId="26CF14F2" w14:textId="77777777" w:rsidR="00442591" w:rsidRPr="00BB1F51" w:rsidRDefault="00442591" w:rsidP="00BB1F51">
      <w:pPr>
        <w:numPr>
          <w:ilvl w:val="0"/>
          <w:numId w:val="3"/>
        </w:numPr>
        <w:shd w:val="clear" w:color="auto" w:fill="FFFFFF"/>
        <w:spacing w:line="360" w:lineRule="auto"/>
        <w:rPr>
          <w:color w:val="1F1F1F"/>
        </w:rPr>
      </w:pPr>
      <w:r w:rsidRPr="00442591">
        <w:rPr>
          <w:color w:val="1F1F1F"/>
        </w:rPr>
        <w:t>Seasonal length: 12</w:t>
      </w:r>
    </w:p>
    <w:p w14:paraId="002710EE" w14:textId="75C11D13" w:rsidR="00497960" w:rsidRPr="00497960" w:rsidRDefault="00261A5A" w:rsidP="00497960">
      <w:pPr>
        <w:shd w:val="clear" w:color="auto" w:fill="FFFFFF"/>
        <w:spacing w:line="360" w:lineRule="auto"/>
        <w:rPr>
          <w:color w:val="1F1F1F"/>
        </w:rPr>
      </w:pPr>
      <w:r w:rsidRPr="00BB1F51">
        <w:rPr>
          <w:color w:val="1F1F1F"/>
        </w:rPr>
        <w:t>The graphs of the results of our classical models are shown below:</w:t>
      </w:r>
    </w:p>
    <w:p w14:paraId="09DD41DB" w14:textId="4BE80E04" w:rsidR="00261A5A" w:rsidRPr="00261A5A" w:rsidRDefault="00124BFD" w:rsidP="00BB1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BB1F51">
        <w:t xml:space="preserve">     </w:t>
      </w:r>
      <w:r w:rsidR="00261A5A" w:rsidRPr="00261A5A">
        <w:rPr>
          <w:rFonts w:ascii="Courier New" w:hAnsi="Courier New" w:cs="Courier New"/>
          <w:sz w:val="22"/>
          <w:szCs w:val="22"/>
        </w:rPr>
        <w:t xml:space="preserve">Best </w:t>
      </w:r>
      <w:r w:rsidRPr="00497960">
        <w:rPr>
          <w:rFonts w:ascii="Courier New" w:hAnsi="Courier New" w:cs="Courier New"/>
          <w:sz w:val="22"/>
          <w:szCs w:val="22"/>
        </w:rPr>
        <w:t xml:space="preserve">ARIMA </w:t>
      </w:r>
      <w:r w:rsidR="00261A5A" w:rsidRPr="00261A5A">
        <w:rPr>
          <w:rFonts w:ascii="Courier New" w:hAnsi="Courier New" w:cs="Courier New"/>
          <w:sz w:val="22"/>
          <w:szCs w:val="22"/>
        </w:rPr>
        <w:t>model:  ARIMA(1,1,0)(0,0,0)[12]</w:t>
      </w:r>
    </w:p>
    <w:p w14:paraId="29EB25B3" w14:textId="27966E7E" w:rsidR="00BA0F29" w:rsidRDefault="00BA0F29" w:rsidP="00BA0F29">
      <w:r>
        <w:rPr>
          <w:noProof/>
        </w:rPr>
        <w:drawing>
          <wp:inline distT="0" distB="0" distL="0" distR="0" wp14:anchorId="36EA3311" wp14:editId="53431F9A">
            <wp:extent cx="5943600" cy="1673860"/>
            <wp:effectExtent l="0" t="0" r="0" b="2540"/>
            <wp:docPr id="57815852" name="Picture 5"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5852" name="Picture 5" descr="A graph showing the growth of the stock marke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09318A23" w14:textId="77777777" w:rsidR="00BA0F29" w:rsidRDefault="00BA0F29" w:rsidP="00BA0F29"/>
    <w:p w14:paraId="0B902522" w14:textId="5991C295" w:rsidR="00BA0F29" w:rsidRDefault="00BA0F29" w:rsidP="00BA0F29">
      <w:r>
        <w:rPr>
          <w:noProof/>
        </w:rPr>
        <w:drawing>
          <wp:inline distT="0" distB="0" distL="0" distR="0" wp14:anchorId="51B5DB55" wp14:editId="51203A13">
            <wp:extent cx="5943600" cy="1673860"/>
            <wp:effectExtent l="0" t="0" r="0" b="2540"/>
            <wp:docPr id="1596272341" name="Picture 4"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72341" name="Picture 4" descr="A graph showing the price of a stock marke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70AC705F" w14:textId="77777777" w:rsidR="00261A5A" w:rsidRPr="00442591" w:rsidRDefault="00261A5A" w:rsidP="00BB1F51">
      <w:pPr>
        <w:shd w:val="clear" w:color="auto" w:fill="FFFFFF"/>
        <w:spacing w:line="360" w:lineRule="auto"/>
        <w:rPr>
          <w:color w:val="1F1F1F"/>
        </w:rPr>
      </w:pPr>
    </w:p>
    <w:p w14:paraId="716350D1" w14:textId="77777777" w:rsidR="00442591" w:rsidRPr="00442591" w:rsidRDefault="00442591" w:rsidP="00BB1F51">
      <w:pPr>
        <w:shd w:val="clear" w:color="auto" w:fill="FFFFFF"/>
        <w:spacing w:line="360" w:lineRule="auto"/>
        <w:rPr>
          <w:color w:val="1F1F1F"/>
        </w:rPr>
      </w:pPr>
      <w:r w:rsidRPr="00442591">
        <w:rPr>
          <w:b/>
          <w:bCs/>
          <w:color w:val="1F1F1F"/>
        </w:rPr>
        <w:t>3.3 Ensemble Model</w:t>
      </w:r>
    </w:p>
    <w:p w14:paraId="5A058AEB" w14:textId="77777777" w:rsidR="00124BFD" w:rsidRPr="00BB1F51" w:rsidRDefault="00442591" w:rsidP="00BB1F51">
      <w:pPr>
        <w:shd w:val="clear" w:color="auto" w:fill="FFFFFF"/>
        <w:spacing w:line="360" w:lineRule="auto"/>
        <w:rPr>
          <w:color w:val="1F1F1F"/>
        </w:rPr>
      </w:pPr>
      <w:r w:rsidRPr="00442591">
        <w:rPr>
          <w:color w:val="1F1F1F"/>
        </w:rPr>
        <w:t>An ensemble model was built to combine SARIMA and ETS forecasts</w:t>
      </w:r>
      <w:r w:rsidR="00124BFD" w:rsidRPr="00BB1F51">
        <w:rPr>
          <w:color w:val="1F1F1F"/>
        </w:rPr>
        <w:t>:</w:t>
      </w:r>
    </w:p>
    <w:p w14:paraId="5AD35EB3" w14:textId="45CE7A96" w:rsidR="00124BFD" w:rsidRPr="00BB1F51" w:rsidRDefault="00000000" w:rsidP="00BB1F51">
      <w:pPr>
        <w:shd w:val="clear" w:color="auto" w:fill="FFFFFF"/>
        <w:spacing w:line="360" w:lineRule="auto"/>
        <w:rPr>
          <w:color w:val="1F1F1F"/>
        </w:rPr>
      </w:pPr>
      <m:oMathPara>
        <m:oMath>
          <m:sSubSup>
            <m:sSubSupPr>
              <m:ctrlPr>
                <w:rPr>
                  <w:rFonts w:ascii="Cambria Math" w:hAnsi="Cambria Math"/>
                  <w:i/>
                  <w:color w:val="1F1F1F"/>
                </w:rPr>
              </m:ctrlPr>
            </m:sSubSupPr>
            <m:e>
              <m:acc>
                <m:accPr>
                  <m:ctrlPr>
                    <w:rPr>
                      <w:rFonts w:ascii="Cambria Math" w:hAnsi="Cambria Math"/>
                      <w:i/>
                      <w:color w:val="1F1F1F"/>
                    </w:rPr>
                  </m:ctrlPr>
                </m:accPr>
                <m:e>
                  <m:r>
                    <w:rPr>
                      <w:rFonts w:ascii="Cambria Math" w:hAnsi="Cambria Math"/>
                      <w:color w:val="1F1F1F"/>
                    </w:rPr>
                    <m:t>y</m:t>
                  </m:r>
                </m:e>
              </m:acc>
            </m:e>
            <m:sub>
              <m:r>
                <w:rPr>
                  <w:rFonts w:ascii="Cambria Math" w:hAnsi="Cambria Math"/>
                  <w:color w:val="1F1F1F"/>
                </w:rPr>
                <m:t>t</m:t>
              </m:r>
            </m:sub>
            <m:sup>
              <m:r>
                <w:rPr>
                  <w:rFonts w:ascii="Cambria Math" w:hAnsi="Cambria Math"/>
                  <w:color w:val="1F1F1F"/>
                </w:rPr>
                <m:t>ensemble</m:t>
              </m:r>
            </m:sup>
          </m:sSubSup>
          <m:r>
            <w:rPr>
              <w:rFonts w:ascii="Cambria Math" w:hAnsi="Cambria Math"/>
              <w:color w:val="1F1F1F"/>
            </w:rPr>
            <m:t>=</m:t>
          </m:r>
          <m:f>
            <m:fPr>
              <m:ctrlPr>
                <w:rPr>
                  <w:rFonts w:ascii="Cambria Math" w:hAnsi="Cambria Math"/>
                  <w:i/>
                  <w:color w:val="1F1F1F"/>
                </w:rPr>
              </m:ctrlPr>
            </m:fPr>
            <m:num>
              <m:sSubSup>
                <m:sSubSupPr>
                  <m:ctrlPr>
                    <w:rPr>
                      <w:rFonts w:ascii="Cambria Math" w:hAnsi="Cambria Math"/>
                      <w:i/>
                      <w:color w:val="1F1F1F"/>
                    </w:rPr>
                  </m:ctrlPr>
                </m:sSubSupPr>
                <m:e>
                  <m:acc>
                    <m:accPr>
                      <m:ctrlPr>
                        <w:rPr>
                          <w:rFonts w:ascii="Cambria Math" w:hAnsi="Cambria Math"/>
                          <w:i/>
                          <w:color w:val="1F1F1F"/>
                        </w:rPr>
                      </m:ctrlPr>
                    </m:accPr>
                    <m:e>
                      <m:r>
                        <w:rPr>
                          <w:rFonts w:ascii="Cambria Math" w:hAnsi="Cambria Math"/>
                          <w:color w:val="1F1F1F"/>
                        </w:rPr>
                        <m:t>y</m:t>
                      </m:r>
                    </m:e>
                  </m:acc>
                </m:e>
                <m:sub>
                  <m:r>
                    <w:rPr>
                      <w:rFonts w:ascii="Cambria Math" w:hAnsi="Cambria Math"/>
                      <w:color w:val="1F1F1F"/>
                    </w:rPr>
                    <m:t>t</m:t>
                  </m:r>
                </m:sub>
                <m:sup>
                  <m:r>
                    <w:rPr>
                      <w:rFonts w:ascii="Cambria Math" w:hAnsi="Cambria Math"/>
                      <w:color w:val="1F1F1F"/>
                    </w:rPr>
                    <m:t>SARIMA</m:t>
                  </m:r>
                </m:sup>
              </m:sSubSup>
              <m:r>
                <w:rPr>
                  <w:rFonts w:ascii="Cambria Math" w:hAnsi="Cambria Math"/>
                  <w:color w:val="1F1F1F"/>
                </w:rPr>
                <m:t>+</m:t>
              </m:r>
              <m:sSubSup>
                <m:sSubSupPr>
                  <m:ctrlPr>
                    <w:rPr>
                      <w:rFonts w:ascii="Cambria Math" w:hAnsi="Cambria Math"/>
                      <w:i/>
                      <w:color w:val="1F1F1F"/>
                    </w:rPr>
                  </m:ctrlPr>
                </m:sSubSupPr>
                <m:e>
                  <m:acc>
                    <m:accPr>
                      <m:ctrlPr>
                        <w:rPr>
                          <w:rFonts w:ascii="Cambria Math" w:hAnsi="Cambria Math"/>
                          <w:i/>
                          <w:color w:val="1F1F1F"/>
                        </w:rPr>
                      </m:ctrlPr>
                    </m:accPr>
                    <m:e>
                      <m:r>
                        <w:rPr>
                          <w:rFonts w:ascii="Cambria Math" w:hAnsi="Cambria Math"/>
                          <w:color w:val="1F1F1F"/>
                        </w:rPr>
                        <m:t>y</m:t>
                      </m:r>
                    </m:e>
                  </m:acc>
                </m:e>
                <m:sub>
                  <m:r>
                    <w:rPr>
                      <w:rFonts w:ascii="Cambria Math" w:hAnsi="Cambria Math"/>
                      <w:color w:val="1F1F1F"/>
                    </w:rPr>
                    <m:t>t</m:t>
                  </m:r>
                </m:sub>
                <m:sup>
                  <m:r>
                    <w:rPr>
                      <w:rFonts w:ascii="Cambria Math" w:hAnsi="Cambria Math"/>
                      <w:color w:val="1F1F1F"/>
                    </w:rPr>
                    <m:t>ETS</m:t>
                  </m:r>
                </m:sup>
              </m:sSubSup>
            </m:num>
            <m:den>
              <m:r>
                <w:rPr>
                  <w:rFonts w:ascii="Cambria Math" w:hAnsi="Cambria Math"/>
                  <w:color w:val="1F1F1F"/>
                </w:rPr>
                <m:t>2</m:t>
              </m:r>
            </m:den>
          </m:f>
        </m:oMath>
      </m:oMathPara>
    </w:p>
    <w:p w14:paraId="25C213A9" w14:textId="7CA69C75" w:rsidR="00124BFD" w:rsidRPr="00BB1F51" w:rsidRDefault="00442591" w:rsidP="00BB1F51">
      <w:pPr>
        <w:shd w:val="clear" w:color="auto" w:fill="FFFFFF"/>
        <w:spacing w:line="360" w:lineRule="auto"/>
        <w:rPr>
          <w:color w:val="1F1F1F"/>
        </w:rPr>
      </w:pPr>
      <w:r w:rsidRPr="00442591">
        <w:rPr>
          <w:color w:val="1F1F1F"/>
        </w:rPr>
        <w:t>This approach aimed to average structural model uncertainty and reduce single-model bias.</w:t>
      </w:r>
      <w:r w:rsidR="00124BFD" w:rsidRPr="00BB1F51">
        <w:rPr>
          <w:color w:val="1F1F1F"/>
        </w:rPr>
        <w:t xml:space="preserve"> The graph of the results of the ensemble model is shown below:</w:t>
      </w:r>
    </w:p>
    <w:p w14:paraId="16C89EBF" w14:textId="09794371" w:rsidR="00BA0F29" w:rsidRDefault="00BA0F29" w:rsidP="00BA0F29">
      <w:r>
        <w:rPr>
          <w:noProof/>
        </w:rPr>
        <w:lastRenderedPageBreak/>
        <w:drawing>
          <wp:inline distT="0" distB="0" distL="0" distR="0" wp14:anchorId="545D350A" wp14:editId="0C1D0C43">
            <wp:extent cx="5943600" cy="1673860"/>
            <wp:effectExtent l="0" t="0" r="0" b="2540"/>
            <wp:docPr id="1376089720" name="Picture 6"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9720" name="Picture 6" descr="A graph showing the growth of the stock marke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p>
    <w:p w14:paraId="23127BB7" w14:textId="4C8D10AB" w:rsidR="00124BFD" w:rsidRPr="00BB1F51" w:rsidRDefault="00124BFD" w:rsidP="00BB1F51">
      <w:pPr>
        <w:spacing w:line="360" w:lineRule="auto"/>
      </w:pPr>
    </w:p>
    <w:p w14:paraId="0A205804" w14:textId="21790028" w:rsidR="00442591" w:rsidRPr="00442591" w:rsidRDefault="00442591" w:rsidP="00BB1F51">
      <w:pPr>
        <w:shd w:val="clear" w:color="auto" w:fill="FFFFFF"/>
        <w:spacing w:line="360" w:lineRule="auto"/>
        <w:rPr>
          <w:color w:val="1F1F1F"/>
        </w:rPr>
      </w:pPr>
    </w:p>
    <w:p w14:paraId="15DD4F1F" w14:textId="77777777" w:rsidR="00442591" w:rsidRPr="00442591" w:rsidRDefault="00442591" w:rsidP="00BB1F51">
      <w:pPr>
        <w:shd w:val="clear" w:color="auto" w:fill="FFFFFF"/>
        <w:spacing w:line="360" w:lineRule="auto"/>
        <w:rPr>
          <w:color w:val="1F1F1F"/>
        </w:rPr>
      </w:pPr>
      <w:r w:rsidRPr="00442591">
        <w:rPr>
          <w:b/>
          <w:bCs/>
          <w:color w:val="1F1F1F"/>
        </w:rPr>
        <w:t>3.4 Hybrid ETS + XGBoost Model</w:t>
      </w:r>
    </w:p>
    <w:p w14:paraId="495E6819" w14:textId="45CC62DF" w:rsidR="00497960" w:rsidRPr="00442591" w:rsidRDefault="00442591" w:rsidP="00497960">
      <w:pPr>
        <w:shd w:val="clear" w:color="auto" w:fill="FFFFFF"/>
        <w:spacing w:after="240" w:line="360" w:lineRule="auto"/>
        <w:rPr>
          <w:color w:val="1F1F1F"/>
        </w:rPr>
      </w:pPr>
      <w:r w:rsidRPr="00442591">
        <w:rPr>
          <w:color w:val="1F1F1F"/>
        </w:rPr>
        <w:t>To fully utilize macroeconomic data while preserving time-series structure, a two-stage hybrid forecasting strategy was implemented:</w:t>
      </w:r>
    </w:p>
    <w:p w14:paraId="056DA2E0" w14:textId="77777777" w:rsidR="00442591" w:rsidRPr="00442591" w:rsidRDefault="00442591" w:rsidP="00BB1F51">
      <w:pPr>
        <w:shd w:val="clear" w:color="auto" w:fill="FFFFFF"/>
        <w:spacing w:line="360" w:lineRule="auto"/>
        <w:rPr>
          <w:color w:val="1F1F1F"/>
        </w:rPr>
      </w:pPr>
      <w:r w:rsidRPr="00442591">
        <w:rPr>
          <w:b/>
          <w:bCs/>
          <w:color w:val="1F1F1F"/>
        </w:rPr>
        <w:t>Step 1 — Baseline Forecast</w:t>
      </w:r>
    </w:p>
    <w:p w14:paraId="5A0E1FD3" w14:textId="55BC4812" w:rsidR="00442591" w:rsidRDefault="004F020D" w:rsidP="00BB1F51">
      <w:pPr>
        <w:shd w:val="clear" w:color="auto" w:fill="FFFFFF"/>
        <w:spacing w:line="360" w:lineRule="auto"/>
        <w:rPr>
          <w:color w:val="1F1F1F"/>
        </w:rPr>
      </w:pPr>
      <w:r>
        <w:rPr>
          <w:color w:val="1F1F1F"/>
        </w:rPr>
        <w:t>The</w:t>
      </w:r>
      <w:r w:rsidR="00442591" w:rsidRPr="00442591">
        <w:rPr>
          <w:color w:val="1F1F1F"/>
        </w:rPr>
        <w:t xml:space="preserve"> models </w:t>
      </w:r>
      <w:r>
        <w:rPr>
          <w:color w:val="1F1F1F"/>
        </w:rPr>
        <w:t xml:space="preserve">above are </w:t>
      </w:r>
      <w:r w:rsidR="00442591" w:rsidRPr="00442591">
        <w:rPr>
          <w:color w:val="1F1F1F"/>
        </w:rPr>
        <w:t xml:space="preserve">using only </w:t>
      </w:r>
      <w:r w:rsidR="001A47C1" w:rsidRPr="00BB1F51">
        <w:rPr>
          <w:color w:val="1F1F1F"/>
        </w:rPr>
        <w:t xml:space="preserve">the </w:t>
      </w:r>
      <w:r w:rsidR="00442591" w:rsidRPr="00442591">
        <w:rPr>
          <w:color w:val="1F1F1F"/>
        </w:rPr>
        <w:t xml:space="preserve">historical PPI </w:t>
      </w:r>
      <w:r w:rsidR="00303610">
        <w:rPr>
          <w:color w:val="1F1F1F"/>
        </w:rPr>
        <w:t>series</w:t>
      </w:r>
      <w:r w:rsidR="00442591" w:rsidRPr="00442591">
        <w:rPr>
          <w:color w:val="1F1F1F"/>
        </w:rPr>
        <w:t xml:space="preserve">. These models captured the core components of the time series, including trend, level, and seasonality, and produced baseline forecasts of PPI values. </w:t>
      </w:r>
      <w:r w:rsidR="00880713">
        <w:rPr>
          <w:color w:val="1F1F1F"/>
        </w:rPr>
        <w:t>The</w:t>
      </w:r>
      <w:r w:rsidR="00442591" w:rsidRPr="00442591">
        <w:rPr>
          <w:color w:val="1F1F1F"/>
        </w:rPr>
        <w:t xml:space="preserve"> model </w:t>
      </w:r>
      <w:r w:rsidR="00880713">
        <w:rPr>
          <w:color w:val="1F1F1F"/>
        </w:rPr>
        <w:t>with</w:t>
      </w:r>
      <w:r w:rsidR="00442591" w:rsidRPr="00442591">
        <w:rPr>
          <w:color w:val="1F1F1F"/>
        </w:rPr>
        <w:t xml:space="preserve"> the lowest mean absolute percentage error </w:t>
      </w:r>
      <w:r w:rsidR="00880713">
        <w:rPr>
          <w:color w:val="1F1F1F"/>
        </w:rPr>
        <w:t xml:space="preserve">will be chosen </w:t>
      </w:r>
      <w:r w:rsidR="00442591" w:rsidRPr="00442591">
        <w:rPr>
          <w:color w:val="1F1F1F"/>
        </w:rPr>
        <w:t>for this step</w:t>
      </w:r>
      <w:r w:rsidR="001A47C1" w:rsidRPr="00BB1F51">
        <w:rPr>
          <w:color w:val="1F1F1F"/>
        </w:rPr>
        <w:t xml:space="preserve">. As </w:t>
      </w:r>
      <w:r w:rsidR="00880713">
        <w:rPr>
          <w:color w:val="1F1F1F"/>
        </w:rPr>
        <w:t xml:space="preserve">the </w:t>
      </w:r>
      <w:r w:rsidR="001A47C1" w:rsidRPr="00BB1F51">
        <w:rPr>
          <w:color w:val="1F1F1F"/>
        </w:rPr>
        <w:t xml:space="preserve">results below, the ETS model has the lowest mean absolute percentage error (MAPE), so </w:t>
      </w:r>
      <w:r w:rsidR="00880713">
        <w:rPr>
          <w:color w:val="1F1F1F"/>
        </w:rPr>
        <w:t>it is</w:t>
      </w:r>
      <w:r w:rsidR="001A47C1" w:rsidRPr="00BB1F51">
        <w:rPr>
          <w:color w:val="1F1F1F"/>
        </w:rPr>
        <w:t xml:space="preserve"> cho</w:t>
      </w:r>
      <w:r w:rsidR="00880713">
        <w:rPr>
          <w:color w:val="1F1F1F"/>
        </w:rPr>
        <w:t>sen</w:t>
      </w:r>
      <w:r w:rsidR="001A47C1" w:rsidRPr="00BB1F51">
        <w:rPr>
          <w:color w:val="1F1F1F"/>
        </w:rPr>
        <w:t xml:space="preserve"> as </w:t>
      </w:r>
      <w:r w:rsidR="00880713">
        <w:rPr>
          <w:color w:val="1F1F1F"/>
        </w:rPr>
        <w:t>the baseline</w:t>
      </w:r>
      <w:r w:rsidR="001A47C1" w:rsidRPr="00BB1F51">
        <w:rPr>
          <w:color w:val="1F1F1F"/>
        </w:rPr>
        <w:t xml:space="preserve"> model for this step. </w:t>
      </w:r>
    </w:p>
    <w:p w14:paraId="036E2E8B" w14:textId="77777777" w:rsidR="00497960" w:rsidRPr="00BB1F51" w:rsidRDefault="00497960" w:rsidP="00BB1F51">
      <w:pPr>
        <w:shd w:val="clear" w:color="auto" w:fill="FFFFFF"/>
        <w:spacing w:line="360" w:lineRule="auto"/>
        <w:rPr>
          <w:color w:val="1F1F1F"/>
        </w:rPr>
      </w:pPr>
    </w:p>
    <w:p w14:paraId="46FF3381" w14:textId="14B17306" w:rsidR="001A47C1" w:rsidRPr="00497960" w:rsidRDefault="001A47C1" w:rsidP="00BB1F51">
      <w:pPr>
        <w:pStyle w:val="HTMLPreformatted"/>
        <w:spacing w:line="360" w:lineRule="auto"/>
        <w:rPr>
          <w:sz w:val="22"/>
          <w:szCs w:val="22"/>
        </w:rPr>
      </w:pPr>
      <w:r w:rsidRPr="00BB1F51">
        <w:rPr>
          <w:rFonts w:ascii="Times New Roman" w:hAnsi="Times New Roman" w:cs="Times New Roman"/>
          <w:sz w:val="24"/>
          <w:szCs w:val="24"/>
        </w:rPr>
        <w:t xml:space="preserve">            </w:t>
      </w:r>
      <w:r w:rsidR="00497960">
        <w:rPr>
          <w:rFonts w:ascii="Times New Roman" w:hAnsi="Times New Roman" w:cs="Times New Roman" w:hint="eastAsia"/>
          <w:sz w:val="24"/>
          <w:szCs w:val="24"/>
        </w:rPr>
        <w:t xml:space="preserve">             </w:t>
      </w:r>
      <w:r w:rsidRPr="00497960">
        <w:rPr>
          <w:sz w:val="22"/>
          <w:szCs w:val="22"/>
        </w:rPr>
        <w:t xml:space="preserve">Model      </w:t>
      </w:r>
      <w:r w:rsidR="00497960">
        <w:rPr>
          <w:rFonts w:hint="eastAsia"/>
          <w:sz w:val="22"/>
          <w:szCs w:val="22"/>
        </w:rPr>
        <w:t xml:space="preserve"> </w:t>
      </w:r>
      <w:r w:rsidRPr="00497960">
        <w:rPr>
          <w:sz w:val="22"/>
          <w:szCs w:val="22"/>
        </w:rPr>
        <w:t>MAPE</w:t>
      </w:r>
    </w:p>
    <w:p w14:paraId="4767BEB2" w14:textId="77777777" w:rsidR="001A47C1" w:rsidRPr="00497960" w:rsidRDefault="001A47C1" w:rsidP="00BB1F51">
      <w:pPr>
        <w:pStyle w:val="HTMLPreformatted"/>
        <w:spacing w:line="360" w:lineRule="auto"/>
        <w:rPr>
          <w:sz w:val="22"/>
          <w:szCs w:val="22"/>
        </w:rPr>
      </w:pPr>
      <w:r w:rsidRPr="00497960">
        <w:rPr>
          <w:sz w:val="22"/>
          <w:szCs w:val="22"/>
        </w:rPr>
        <w:t>0      Naive Last  0.197224</w:t>
      </w:r>
    </w:p>
    <w:p w14:paraId="720B7C8A" w14:textId="77777777" w:rsidR="001A47C1" w:rsidRPr="00497960" w:rsidRDefault="001A47C1" w:rsidP="00BB1F51">
      <w:pPr>
        <w:pStyle w:val="HTMLPreformatted"/>
        <w:spacing w:line="360" w:lineRule="auto"/>
        <w:rPr>
          <w:sz w:val="22"/>
          <w:szCs w:val="22"/>
        </w:rPr>
      </w:pPr>
      <w:r w:rsidRPr="00497960">
        <w:rPr>
          <w:sz w:val="22"/>
          <w:szCs w:val="22"/>
        </w:rPr>
        <w:t>1     Naive Drift  0.256290</w:t>
      </w:r>
    </w:p>
    <w:p w14:paraId="3DB5BE15" w14:textId="77777777" w:rsidR="001A47C1" w:rsidRPr="00497960" w:rsidRDefault="001A47C1" w:rsidP="00BB1F51">
      <w:pPr>
        <w:pStyle w:val="HTMLPreformatted"/>
        <w:spacing w:line="360" w:lineRule="auto"/>
        <w:rPr>
          <w:sz w:val="22"/>
          <w:szCs w:val="22"/>
        </w:rPr>
      </w:pPr>
      <w:r w:rsidRPr="00497960">
        <w:rPr>
          <w:sz w:val="22"/>
          <w:szCs w:val="22"/>
        </w:rPr>
        <w:t>2  Naive Seasonal  0.205604</w:t>
      </w:r>
    </w:p>
    <w:p w14:paraId="004A0087" w14:textId="77777777" w:rsidR="001A47C1" w:rsidRPr="00497960" w:rsidRDefault="001A47C1" w:rsidP="00BB1F51">
      <w:pPr>
        <w:pStyle w:val="HTMLPreformatted"/>
        <w:spacing w:line="360" w:lineRule="auto"/>
        <w:rPr>
          <w:sz w:val="22"/>
          <w:szCs w:val="22"/>
        </w:rPr>
      </w:pPr>
      <w:r w:rsidRPr="00497960">
        <w:rPr>
          <w:sz w:val="22"/>
          <w:szCs w:val="22"/>
        </w:rPr>
        <w:t>3          SARIMA  0.186237</w:t>
      </w:r>
    </w:p>
    <w:p w14:paraId="3202E6CD" w14:textId="77777777" w:rsidR="001A47C1" w:rsidRPr="00497960" w:rsidRDefault="001A47C1" w:rsidP="00BB1F51">
      <w:pPr>
        <w:pStyle w:val="HTMLPreformatted"/>
        <w:spacing w:line="360" w:lineRule="auto"/>
        <w:rPr>
          <w:sz w:val="22"/>
          <w:szCs w:val="22"/>
        </w:rPr>
      </w:pPr>
      <w:r w:rsidRPr="00497960">
        <w:rPr>
          <w:sz w:val="22"/>
          <w:szCs w:val="22"/>
        </w:rPr>
        <w:t>4             ETS  0.124905</w:t>
      </w:r>
    </w:p>
    <w:p w14:paraId="345D2350" w14:textId="1EBB5217" w:rsidR="001A47C1" w:rsidRDefault="001A47C1" w:rsidP="00BB1F51">
      <w:pPr>
        <w:pStyle w:val="HTMLPreformatted"/>
        <w:spacing w:line="360" w:lineRule="auto"/>
        <w:rPr>
          <w:sz w:val="22"/>
          <w:szCs w:val="22"/>
        </w:rPr>
      </w:pPr>
      <w:r w:rsidRPr="00497960">
        <w:rPr>
          <w:sz w:val="22"/>
          <w:szCs w:val="22"/>
        </w:rPr>
        <w:t>5        Ensemble  0.</w:t>
      </w:r>
      <w:r w:rsidR="00BA0F29">
        <w:rPr>
          <w:sz w:val="22"/>
          <w:szCs w:val="22"/>
        </w:rPr>
        <w:t>155571</w:t>
      </w:r>
    </w:p>
    <w:p w14:paraId="057FD3E8" w14:textId="1DB2D6B4" w:rsidR="00BA0F29" w:rsidRDefault="00BA0F29" w:rsidP="00BA0F29">
      <w:r>
        <w:rPr>
          <w:noProof/>
        </w:rPr>
        <w:lastRenderedPageBreak/>
        <w:drawing>
          <wp:inline distT="0" distB="0" distL="0" distR="0" wp14:anchorId="3B235F13" wp14:editId="454BDD1A">
            <wp:extent cx="6525917" cy="1718631"/>
            <wp:effectExtent l="0" t="0" r="1905" b="0"/>
            <wp:docPr id="747479294" name="Picture 7"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79294" name="Picture 7" descr="A graph showing the growth of the stock marke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27136" cy="1718952"/>
                    </a:xfrm>
                    <a:prstGeom prst="rect">
                      <a:avLst/>
                    </a:prstGeom>
                    <a:noFill/>
                    <a:ln>
                      <a:noFill/>
                    </a:ln>
                  </pic:spPr>
                </pic:pic>
              </a:graphicData>
            </a:graphic>
          </wp:inline>
        </w:drawing>
      </w:r>
    </w:p>
    <w:p w14:paraId="41DA4033" w14:textId="77777777" w:rsidR="00BA0F29" w:rsidRPr="00497960" w:rsidRDefault="00BA0F29" w:rsidP="00BB1F51">
      <w:pPr>
        <w:pStyle w:val="HTMLPreformatted"/>
        <w:spacing w:line="360" w:lineRule="auto"/>
        <w:rPr>
          <w:sz w:val="22"/>
          <w:szCs w:val="22"/>
        </w:rPr>
      </w:pPr>
    </w:p>
    <w:p w14:paraId="0F63D458" w14:textId="77777777" w:rsidR="001A47C1" w:rsidRPr="00442591" w:rsidRDefault="001A47C1" w:rsidP="00BB1F51">
      <w:pPr>
        <w:shd w:val="clear" w:color="auto" w:fill="FFFFFF"/>
        <w:spacing w:line="360" w:lineRule="auto"/>
        <w:rPr>
          <w:color w:val="1F1F1F"/>
        </w:rPr>
      </w:pPr>
    </w:p>
    <w:p w14:paraId="6AE7C12F" w14:textId="77777777" w:rsidR="00442591" w:rsidRPr="00442591" w:rsidRDefault="00442591" w:rsidP="00BB1F51">
      <w:pPr>
        <w:shd w:val="clear" w:color="auto" w:fill="FFFFFF"/>
        <w:spacing w:line="360" w:lineRule="auto"/>
        <w:rPr>
          <w:color w:val="1F1F1F"/>
        </w:rPr>
      </w:pPr>
      <w:r w:rsidRPr="00442591">
        <w:rPr>
          <w:b/>
          <w:bCs/>
          <w:color w:val="1F1F1F"/>
        </w:rPr>
        <w:t>Step 2 — Residual Forecast</w:t>
      </w:r>
    </w:p>
    <w:p w14:paraId="57EB189E" w14:textId="59223B01" w:rsidR="00442591" w:rsidRPr="00BB1F51" w:rsidRDefault="00442591" w:rsidP="00BB1F51">
      <w:pPr>
        <w:shd w:val="clear" w:color="auto" w:fill="FFFFFF"/>
        <w:spacing w:line="360" w:lineRule="auto"/>
        <w:rPr>
          <w:color w:val="1F1F1F"/>
        </w:rPr>
      </w:pPr>
      <w:r w:rsidRPr="00442591">
        <w:rPr>
          <w:color w:val="1F1F1F"/>
        </w:rPr>
        <w:t xml:space="preserve">After generating ETS forecasts, the remaining errors (residuals) between the actual observations and the ETS predictions were computed. These residuals represent patterns not fully explained by classical smoothing methods, including nonlinear effects and external economic influences. After plotting the time series plot </w:t>
      </w:r>
      <w:r w:rsidR="00843430" w:rsidRPr="00BB1F51">
        <w:rPr>
          <w:color w:val="1F1F1F"/>
        </w:rPr>
        <w:t>of</w:t>
      </w:r>
      <w:r w:rsidRPr="00442591">
        <w:rPr>
          <w:color w:val="1F1F1F"/>
        </w:rPr>
        <w:t xml:space="preserve"> residuals</w:t>
      </w:r>
      <w:r w:rsidR="00843430" w:rsidRPr="00BB1F51">
        <w:rPr>
          <w:color w:val="1F1F1F"/>
        </w:rPr>
        <w:t xml:space="preserve">, </w:t>
      </w:r>
      <w:r w:rsidR="00880713">
        <w:rPr>
          <w:color w:val="1F1F1F"/>
        </w:rPr>
        <w:t>it is clear that</w:t>
      </w:r>
      <w:r w:rsidR="00843430" w:rsidRPr="00BB1F51">
        <w:rPr>
          <w:color w:val="1F1F1F"/>
        </w:rPr>
        <w:t xml:space="preserve"> there are some </w:t>
      </w:r>
      <w:r w:rsidR="00303610">
        <w:rPr>
          <w:color w:val="1F1F1F"/>
        </w:rPr>
        <w:t>significant</w:t>
      </w:r>
      <w:r w:rsidR="00843430" w:rsidRPr="00BB1F51">
        <w:rPr>
          <w:color w:val="1F1F1F"/>
        </w:rPr>
        <w:t xml:space="preserve"> spikes and clusters in the residuals. </w:t>
      </w:r>
      <w:r w:rsidR="00880713">
        <w:rPr>
          <w:color w:val="1F1F1F"/>
        </w:rPr>
        <w:t>The</w:t>
      </w:r>
      <w:r w:rsidR="00843430" w:rsidRPr="00BB1F51">
        <w:rPr>
          <w:color w:val="1F1F1F"/>
        </w:rPr>
        <w:t xml:space="preserve"> ti</w:t>
      </w:r>
      <w:r w:rsidR="00F90858">
        <w:rPr>
          <w:rFonts w:hint="eastAsia"/>
          <w:color w:val="1F1F1F"/>
        </w:rPr>
        <w:t>m</w:t>
      </w:r>
      <w:r w:rsidR="00843430" w:rsidRPr="00BB1F51">
        <w:rPr>
          <w:color w:val="1F1F1F"/>
        </w:rPr>
        <w:t xml:space="preserve">e series plot and </w:t>
      </w:r>
      <w:r w:rsidRPr="00442591">
        <w:rPr>
          <w:color w:val="1F1F1F"/>
        </w:rPr>
        <w:t xml:space="preserve">the </w:t>
      </w:r>
      <w:r w:rsidR="001A47C1" w:rsidRPr="00BB1F51">
        <w:rPr>
          <w:color w:val="1F1F1F"/>
        </w:rPr>
        <w:t>ACF</w:t>
      </w:r>
      <w:r w:rsidRPr="00442591">
        <w:rPr>
          <w:color w:val="1F1F1F"/>
        </w:rPr>
        <w:t xml:space="preserve"> of squared</w:t>
      </w:r>
      <w:r w:rsidR="001A47C1" w:rsidRPr="00BB1F51">
        <w:rPr>
          <w:color w:val="1F1F1F"/>
        </w:rPr>
        <w:t xml:space="preserve"> </w:t>
      </w:r>
      <w:r w:rsidRPr="00442591">
        <w:rPr>
          <w:color w:val="1F1F1F"/>
        </w:rPr>
        <w:t>residuals</w:t>
      </w:r>
      <w:r w:rsidR="00880713">
        <w:rPr>
          <w:color w:val="1F1F1F"/>
        </w:rPr>
        <w:t xml:space="preserve"> show</w:t>
      </w:r>
      <w:r w:rsidRPr="00442591">
        <w:rPr>
          <w:color w:val="1F1F1F"/>
        </w:rPr>
        <w:t xml:space="preserve"> </w:t>
      </w:r>
      <w:r w:rsidR="00303610">
        <w:rPr>
          <w:color w:val="1F1F1F"/>
        </w:rPr>
        <w:t xml:space="preserve">autocorrelations </w:t>
      </w:r>
      <w:r w:rsidRPr="00442591">
        <w:rPr>
          <w:color w:val="1F1F1F"/>
        </w:rPr>
        <w:t xml:space="preserve">in </w:t>
      </w:r>
      <w:r w:rsidR="00837168">
        <w:rPr>
          <w:color w:val="1F1F1F"/>
        </w:rPr>
        <w:t xml:space="preserve">the </w:t>
      </w:r>
      <w:r w:rsidRPr="00442591">
        <w:rPr>
          <w:color w:val="1F1F1F"/>
        </w:rPr>
        <w:t>residuals</w:t>
      </w:r>
      <w:r w:rsidR="001A47C1" w:rsidRPr="00BB1F51">
        <w:rPr>
          <w:color w:val="1F1F1F"/>
        </w:rPr>
        <w:t>,</w:t>
      </w:r>
      <w:r w:rsidRPr="00442591">
        <w:rPr>
          <w:color w:val="1F1F1F"/>
        </w:rPr>
        <w:t xml:space="preserve"> </w:t>
      </w:r>
      <w:r w:rsidR="001A47C1" w:rsidRPr="00BB1F51">
        <w:rPr>
          <w:color w:val="1F1F1F"/>
        </w:rPr>
        <w:t xml:space="preserve">so </w:t>
      </w:r>
      <w:r w:rsidRPr="00442591">
        <w:rPr>
          <w:color w:val="1F1F1F"/>
        </w:rPr>
        <w:t>they are not pure white noise</w:t>
      </w:r>
      <w:r w:rsidR="001A47C1" w:rsidRPr="00BB1F51">
        <w:rPr>
          <w:color w:val="1F1F1F"/>
        </w:rPr>
        <w:t xml:space="preserve">, which means </w:t>
      </w:r>
      <w:r w:rsidRPr="00442591">
        <w:rPr>
          <w:color w:val="1F1F1F"/>
        </w:rPr>
        <w:t>they may be forecastable.</w:t>
      </w:r>
    </w:p>
    <w:p w14:paraId="2AD4F9F3" w14:textId="5F9E4673" w:rsidR="001A47C1" w:rsidRPr="00BB1F51" w:rsidRDefault="001A47C1" w:rsidP="00BB1F51">
      <w:pPr>
        <w:spacing w:line="360" w:lineRule="auto"/>
        <w:jc w:val="center"/>
      </w:pPr>
      <w:r w:rsidRPr="00BB1F51">
        <w:rPr>
          <w:noProof/>
        </w:rPr>
        <w:drawing>
          <wp:inline distT="0" distB="0" distL="0" distR="0" wp14:anchorId="270C91AB" wp14:editId="2E4954FF">
            <wp:extent cx="4019341" cy="3130393"/>
            <wp:effectExtent l="0" t="0" r="0" b="0"/>
            <wp:docPr id="167526699" name="Picture 16" descr="A graph of a graph showing the tim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6699" name="Picture 16" descr="A graph of a graph showing the time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629" cy="3131396"/>
                    </a:xfrm>
                    <a:prstGeom prst="rect">
                      <a:avLst/>
                    </a:prstGeom>
                    <a:noFill/>
                    <a:ln>
                      <a:noFill/>
                    </a:ln>
                  </pic:spPr>
                </pic:pic>
              </a:graphicData>
            </a:graphic>
          </wp:inline>
        </w:drawing>
      </w:r>
    </w:p>
    <w:p w14:paraId="4785B332" w14:textId="401478BA" w:rsidR="001A47C1" w:rsidRPr="00BB1F51" w:rsidRDefault="001A47C1" w:rsidP="00BB1F51">
      <w:pPr>
        <w:spacing w:line="360" w:lineRule="auto"/>
        <w:jc w:val="center"/>
      </w:pPr>
      <w:r w:rsidRPr="00BB1F51">
        <w:rPr>
          <w:noProof/>
        </w:rPr>
        <w:lastRenderedPageBreak/>
        <w:drawing>
          <wp:inline distT="0" distB="0" distL="0" distR="0" wp14:anchorId="283D1115" wp14:editId="3D6919E4">
            <wp:extent cx="3777573" cy="2957987"/>
            <wp:effectExtent l="0" t="0" r="0" b="1270"/>
            <wp:docPr id="1414007608" name="Picture 15"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7608" name="Picture 15" descr="A graph of a number of data&#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2630" cy="2961947"/>
                    </a:xfrm>
                    <a:prstGeom prst="rect">
                      <a:avLst/>
                    </a:prstGeom>
                    <a:noFill/>
                    <a:ln>
                      <a:noFill/>
                    </a:ln>
                  </pic:spPr>
                </pic:pic>
              </a:graphicData>
            </a:graphic>
          </wp:inline>
        </w:drawing>
      </w:r>
    </w:p>
    <w:p w14:paraId="3CDCA052" w14:textId="77777777" w:rsidR="00843430" w:rsidRPr="00BB1F51" w:rsidRDefault="00843430" w:rsidP="00BB1F51">
      <w:pPr>
        <w:spacing w:line="360" w:lineRule="auto"/>
        <w:jc w:val="center"/>
      </w:pPr>
    </w:p>
    <w:p w14:paraId="63255E10" w14:textId="2B41FE00" w:rsidR="001A47C1" w:rsidRPr="00BB1F51" w:rsidRDefault="001A47C1" w:rsidP="00BB1F51">
      <w:pPr>
        <w:spacing w:line="360" w:lineRule="auto"/>
        <w:jc w:val="center"/>
      </w:pPr>
      <w:r w:rsidRPr="00BB1F51">
        <w:rPr>
          <w:noProof/>
        </w:rPr>
        <w:drawing>
          <wp:inline distT="0" distB="0" distL="0" distR="0" wp14:anchorId="49C522CD" wp14:editId="251F0103">
            <wp:extent cx="3888712" cy="2973801"/>
            <wp:effectExtent l="0" t="0" r="0" b="0"/>
            <wp:docPr id="245621757" name="Picture 14"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21757" name="Picture 14" descr="A graph of a line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0134" cy="2974889"/>
                    </a:xfrm>
                    <a:prstGeom prst="rect">
                      <a:avLst/>
                    </a:prstGeom>
                    <a:noFill/>
                    <a:ln>
                      <a:noFill/>
                    </a:ln>
                  </pic:spPr>
                </pic:pic>
              </a:graphicData>
            </a:graphic>
          </wp:inline>
        </w:drawing>
      </w:r>
    </w:p>
    <w:p w14:paraId="7DE05777" w14:textId="77777777" w:rsidR="001A47C1" w:rsidRPr="00442591" w:rsidRDefault="001A47C1" w:rsidP="00BB1F51">
      <w:pPr>
        <w:shd w:val="clear" w:color="auto" w:fill="FFFFFF"/>
        <w:spacing w:line="360" w:lineRule="auto"/>
        <w:rPr>
          <w:color w:val="1F1F1F"/>
        </w:rPr>
      </w:pPr>
    </w:p>
    <w:p w14:paraId="711C387E" w14:textId="77777777" w:rsidR="00442591" w:rsidRPr="00442591" w:rsidRDefault="00442591" w:rsidP="00BB1F51">
      <w:pPr>
        <w:shd w:val="clear" w:color="auto" w:fill="FFFFFF"/>
        <w:spacing w:line="360" w:lineRule="auto"/>
        <w:rPr>
          <w:color w:val="1F1F1F"/>
        </w:rPr>
      </w:pPr>
      <w:r w:rsidRPr="00442591">
        <w:rPr>
          <w:color w:val="1F1F1F"/>
        </w:rPr>
        <w:t>An XGBoost regression model was then trained to predict these residuals using scaled macroeconomic features, such as oil prices, consumer inflation, and industrial production. The model was configured with 300 decision trees, moderate depth to avoid overfitting, and subsampling strategies to improve generalization performance.</w:t>
      </w:r>
    </w:p>
    <w:p w14:paraId="62B02478" w14:textId="77777777" w:rsidR="00442591" w:rsidRPr="00442591" w:rsidRDefault="00442591" w:rsidP="00BB1F51">
      <w:pPr>
        <w:shd w:val="clear" w:color="auto" w:fill="FFFFFF"/>
        <w:spacing w:line="360" w:lineRule="auto"/>
        <w:rPr>
          <w:color w:val="1F1F1F"/>
        </w:rPr>
      </w:pPr>
      <w:r w:rsidRPr="00442591">
        <w:rPr>
          <w:color w:val="1F1F1F"/>
        </w:rPr>
        <w:t>The trained XGBoost model produced forecasts of the estimated residual corrections for the forecast horizon.</w:t>
      </w:r>
    </w:p>
    <w:p w14:paraId="1A74029C" w14:textId="77777777" w:rsidR="00442591" w:rsidRPr="00442591" w:rsidRDefault="00442591" w:rsidP="00BB1F51">
      <w:pPr>
        <w:shd w:val="clear" w:color="auto" w:fill="FFFFFF"/>
        <w:spacing w:line="360" w:lineRule="auto"/>
        <w:rPr>
          <w:color w:val="1F1F1F"/>
        </w:rPr>
      </w:pPr>
      <w:r w:rsidRPr="00442591">
        <w:rPr>
          <w:b/>
          <w:bCs/>
          <w:color w:val="1F1F1F"/>
        </w:rPr>
        <w:lastRenderedPageBreak/>
        <w:t>Step 3 - Final Hybrid Forecast</w:t>
      </w:r>
    </w:p>
    <w:p w14:paraId="6F94ED8A" w14:textId="77777777" w:rsidR="00442591" w:rsidRPr="00BB1F51" w:rsidRDefault="00442591" w:rsidP="00BB1F51">
      <w:pPr>
        <w:shd w:val="clear" w:color="auto" w:fill="FFFFFF"/>
        <w:spacing w:line="360" w:lineRule="auto"/>
        <w:rPr>
          <w:color w:val="1F1F1F"/>
        </w:rPr>
      </w:pPr>
      <w:r w:rsidRPr="00442591">
        <w:rPr>
          <w:color w:val="1F1F1F"/>
        </w:rPr>
        <w:t>The final hybrid forecast was obtained by adjusting the ETS baseline predictions using the residual corrections generated by the XGBoost model. This hybrid structure preserves the strength of classical exponential smoothing for modeling seasonality and trend while incorporating flexible machine-learning corrections driven by macroeconomic signals. This combined approach enables improved forecast accuracy by accounting for both intrinsic time-series components and complex, nonlinear exogenous influences that would otherwise remain unmodeled.</w:t>
      </w:r>
    </w:p>
    <w:p w14:paraId="7C706908" w14:textId="04F1EE69" w:rsidR="00BA0F29" w:rsidRDefault="00BA0F29" w:rsidP="00BA0F29">
      <w:r>
        <w:rPr>
          <w:noProof/>
        </w:rPr>
        <w:drawing>
          <wp:inline distT="0" distB="0" distL="0" distR="0" wp14:anchorId="0521CADE" wp14:editId="06045DA4">
            <wp:extent cx="6572002" cy="1850833"/>
            <wp:effectExtent l="0" t="0" r="0" b="3810"/>
            <wp:docPr id="695688630" name="Picture 8"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88630" name="Picture 8" descr="A graph showing the growth of the stock marke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002" cy="1850833"/>
                    </a:xfrm>
                    <a:prstGeom prst="rect">
                      <a:avLst/>
                    </a:prstGeom>
                    <a:noFill/>
                    <a:ln>
                      <a:noFill/>
                    </a:ln>
                  </pic:spPr>
                </pic:pic>
              </a:graphicData>
            </a:graphic>
          </wp:inline>
        </w:drawing>
      </w:r>
    </w:p>
    <w:p w14:paraId="14895A6E" w14:textId="470C9509" w:rsidR="00843430" w:rsidRPr="00BB1F51" w:rsidRDefault="00843430" w:rsidP="00BB1F51">
      <w:pPr>
        <w:spacing w:line="360" w:lineRule="auto"/>
      </w:pPr>
    </w:p>
    <w:p w14:paraId="39B58A74" w14:textId="77777777" w:rsidR="00843430" w:rsidRPr="00442591" w:rsidRDefault="00843430" w:rsidP="00BB1F51">
      <w:pPr>
        <w:shd w:val="clear" w:color="auto" w:fill="FFFFFF"/>
        <w:spacing w:line="360" w:lineRule="auto"/>
        <w:rPr>
          <w:color w:val="1F1F1F"/>
        </w:rPr>
      </w:pPr>
    </w:p>
    <w:p w14:paraId="3F69C34A" w14:textId="77777777" w:rsidR="00442591" w:rsidRPr="00442591" w:rsidRDefault="00442591" w:rsidP="00F90858">
      <w:pPr>
        <w:shd w:val="clear" w:color="auto" w:fill="FFFFFF"/>
        <w:spacing w:after="240" w:line="360" w:lineRule="auto"/>
        <w:outlineLvl w:val="2"/>
        <w:rPr>
          <w:color w:val="1F1F1F"/>
        </w:rPr>
      </w:pPr>
      <w:r w:rsidRPr="00442591">
        <w:rPr>
          <w:b/>
          <w:bCs/>
          <w:color w:val="1F1F1F"/>
        </w:rPr>
        <w:t>4. Results and Interpretation</w:t>
      </w:r>
    </w:p>
    <w:p w14:paraId="5775C6F9" w14:textId="77777777" w:rsidR="00442591" w:rsidRPr="00442591" w:rsidRDefault="00442591" w:rsidP="00BB1F51">
      <w:pPr>
        <w:shd w:val="clear" w:color="auto" w:fill="FFFFFF"/>
        <w:spacing w:line="360" w:lineRule="auto"/>
        <w:rPr>
          <w:color w:val="1F1F1F"/>
        </w:rPr>
      </w:pPr>
      <w:r w:rsidRPr="00442591">
        <w:rPr>
          <w:b/>
          <w:bCs/>
          <w:color w:val="1F1F1F"/>
        </w:rPr>
        <w:t>4.1 Evaluation Methodology</w:t>
      </w:r>
    </w:p>
    <w:p w14:paraId="5C5F172C" w14:textId="77777777" w:rsidR="00442591" w:rsidRPr="00442591" w:rsidRDefault="00442591" w:rsidP="00BB1F51">
      <w:pPr>
        <w:shd w:val="clear" w:color="auto" w:fill="FFFFFF"/>
        <w:spacing w:line="360" w:lineRule="auto"/>
        <w:rPr>
          <w:color w:val="1F1F1F"/>
        </w:rPr>
      </w:pPr>
      <w:r w:rsidRPr="00442591">
        <w:rPr>
          <w:color w:val="1F1F1F"/>
        </w:rPr>
        <w:t>Model performance was evaluated using a hold-out temporal test set consisting of the final 36 months of observations. All models were trained exclusively on historical data prior to this period to preserve a realistic forecasting scenario.</w:t>
      </w:r>
    </w:p>
    <w:p w14:paraId="4708CF39" w14:textId="77777777" w:rsidR="00442591" w:rsidRPr="00442591" w:rsidRDefault="00442591" w:rsidP="00BB1F51">
      <w:pPr>
        <w:shd w:val="clear" w:color="auto" w:fill="FFFFFF"/>
        <w:spacing w:line="360" w:lineRule="auto"/>
        <w:rPr>
          <w:color w:val="1F1F1F"/>
        </w:rPr>
      </w:pPr>
      <w:r w:rsidRPr="00442591">
        <w:rPr>
          <w:color w:val="1F1F1F"/>
        </w:rPr>
        <w:t>Forecast accuracy was measured using Mean Absolute Percentage Error (MAPE). MAPE quantifies the average absolute deviation between predictions and actual observations as a percentage of the true values, thereby providing an intuitive measure of relative error across competing models. Lower MAPE values indicate superior performance.</w:t>
      </w:r>
    </w:p>
    <w:p w14:paraId="38028830" w14:textId="77777777" w:rsidR="00442591" w:rsidRPr="00442591" w:rsidRDefault="00442591" w:rsidP="00303610">
      <w:pPr>
        <w:shd w:val="clear" w:color="auto" w:fill="FFFFFF"/>
        <w:spacing w:before="240" w:line="360" w:lineRule="auto"/>
        <w:rPr>
          <w:color w:val="1F1F1F"/>
        </w:rPr>
      </w:pPr>
      <w:r w:rsidRPr="00442591">
        <w:rPr>
          <w:b/>
          <w:bCs/>
          <w:color w:val="1F1F1F"/>
        </w:rPr>
        <w:t>4.2 Results Summary</w:t>
      </w:r>
    </w:p>
    <w:p w14:paraId="542F620B" w14:textId="269D6593" w:rsidR="00442591" w:rsidRPr="00BB1F51" w:rsidRDefault="00442591" w:rsidP="00BB1F51">
      <w:pPr>
        <w:shd w:val="clear" w:color="auto" w:fill="FFFFFF"/>
        <w:spacing w:line="360" w:lineRule="auto"/>
        <w:rPr>
          <w:color w:val="1F1F1F"/>
        </w:rPr>
      </w:pPr>
      <w:r w:rsidRPr="00442591">
        <w:rPr>
          <w:color w:val="1F1F1F"/>
        </w:rPr>
        <w:t>Model performance ranked by MAPE from best to worst is shown below: </w:t>
      </w:r>
    </w:p>
    <w:p w14:paraId="7FBB3AD4" w14:textId="77777777" w:rsidR="00843430" w:rsidRPr="00BB1F51" w:rsidRDefault="00843430" w:rsidP="00BB1F51">
      <w:pPr>
        <w:shd w:val="clear" w:color="auto" w:fill="FFFFFF"/>
        <w:spacing w:line="360" w:lineRule="auto"/>
        <w:rPr>
          <w:color w:val="1F1F1F"/>
        </w:rPr>
      </w:pPr>
    </w:p>
    <w:p w14:paraId="60A69BFD" w14:textId="57214668" w:rsidR="00843430" w:rsidRPr="00BB1F51" w:rsidRDefault="00843430" w:rsidP="00BB1F51">
      <w:pPr>
        <w:spacing w:line="360" w:lineRule="auto"/>
      </w:pPr>
    </w:p>
    <w:p w14:paraId="7605AFB2" w14:textId="36C5DA9D" w:rsidR="00AF0764" w:rsidRPr="00BB1F51" w:rsidRDefault="00AF0764" w:rsidP="00BB1F51">
      <w:pPr>
        <w:spacing w:line="360" w:lineRule="auto"/>
      </w:pPr>
    </w:p>
    <w:p w14:paraId="53323B38" w14:textId="202E3797" w:rsidR="00AF0764" w:rsidRPr="00F90858" w:rsidRDefault="00AF0764" w:rsidP="00BB1F51">
      <w:pPr>
        <w:pStyle w:val="HTMLPreformatted"/>
        <w:spacing w:line="360" w:lineRule="auto"/>
        <w:rPr>
          <w:sz w:val="22"/>
          <w:szCs w:val="22"/>
        </w:rPr>
      </w:pPr>
      <w:r w:rsidRPr="00BB1F51">
        <w:rPr>
          <w:rFonts w:ascii="Times New Roman" w:hAnsi="Times New Roman" w:cs="Times New Roman"/>
          <w:sz w:val="24"/>
          <w:szCs w:val="24"/>
        </w:rPr>
        <w:t xml:space="preserve">                  </w:t>
      </w:r>
      <w:r w:rsidR="00F90858">
        <w:rPr>
          <w:rFonts w:ascii="Times New Roman" w:hAnsi="Times New Roman" w:cs="Times New Roman" w:hint="eastAsia"/>
          <w:sz w:val="24"/>
          <w:szCs w:val="24"/>
        </w:rPr>
        <w:t xml:space="preserve">                    </w:t>
      </w:r>
      <w:r w:rsidRPr="00F90858">
        <w:rPr>
          <w:sz w:val="22"/>
          <w:szCs w:val="22"/>
        </w:rPr>
        <w:t>Model      MAPE</w:t>
      </w:r>
    </w:p>
    <w:p w14:paraId="4916C16A" w14:textId="77777777" w:rsidR="00AF0764" w:rsidRPr="00F90858" w:rsidRDefault="00AF0764" w:rsidP="00BB1F51">
      <w:pPr>
        <w:pStyle w:val="HTMLPreformatted"/>
        <w:spacing w:line="360" w:lineRule="auto"/>
        <w:rPr>
          <w:sz w:val="22"/>
          <w:szCs w:val="22"/>
        </w:rPr>
      </w:pPr>
      <w:r w:rsidRPr="00F90858">
        <w:rPr>
          <w:sz w:val="22"/>
          <w:szCs w:val="22"/>
        </w:rPr>
        <w:t>6  Hybrid ETS + XGBoost  0.119802</w:t>
      </w:r>
    </w:p>
    <w:p w14:paraId="0906D2D5" w14:textId="77777777" w:rsidR="00AF0764" w:rsidRDefault="00AF0764" w:rsidP="00BB1F51">
      <w:pPr>
        <w:pStyle w:val="HTMLPreformatted"/>
        <w:spacing w:line="360" w:lineRule="auto"/>
        <w:rPr>
          <w:sz w:val="22"/>
          <w:szCs w:val="22"/>
        </w:rPr>
      </w:pPr>
      <w:r w:rsidRPr="00F90858">
        <w:rPr>
          <w:sz w:val="22"/>
          <w:szCs w:val="22"/>
        </w:rPr>
        <w:t>4                   ETS  0.124905</w:t>
      </w:r>
    </w:p>
    <w:p w14:paraId="186B4B06" w14:textId="629063F1" w:rsidR="00BA0F29" w:rsidRPr="00F90858" w:rsidRDefault="00BA0F29" w:rsidP="00BB1F51">
      <w:pPr>
        <w:pStyle w:val="HTMLPreformatted"/>
        <w:spacing w:line="360" w:lineRule="auto"/>
        <w:rPr>
          <w:sz w:val="22"/>
          <w:szCs w:val="22"/>
        </w:rPr>
      </w:pPr>
      <w:r w:rsidRPr="00F90858">
        <w:rPr>
          <w:sz w:val="22"/>
          <w:szCs w:val="22"/>
        </w:rPr>
        <w:t>5              Ensemble  0.</w:t>
      </w:r>
      <w:r>
        <w:rPr>
          <w:sz w:val="22"/>
          <w:szCs w:val="22"/>
        </w:rPr>
        <w:t>155571</w:t>
      </w:r>
    </w:p>
    <w:p w14:paraId="65D2E841" w14:textId="77777777" w:rsidR="00AF0764" w:rsidRDefault="00AF0764" w:rsidP="00BB1F51">
      <w:pPr>
        <w:pStyle w:val="HTMLPreformatted"/>
        <w:spacing w:line="360" w:lineRule="auto"/>
        <w:rPr>
          <w:sz w:val="22"/>
          <w:szCs w:val="22"/>
        </w:rPr>
      </w:pPr>
      <w:r w:rsidRPr="00F90858">
        <w:rPr>
          <w:sz w:val="22"/>
          <w:szCs w:val="22"/>
        </w:rPr>
        <w:t>3                SARIMA  0.186237</w:t>
      </w:r>
    </w:p>
    <w:p w14:paraId="6724EC43" w14:textId="77777777" w:rsidR="00AF0764" w:rsidRPr="00F90858" w:rsidRDefault="00AF0764" w:rsidP="00BB1F51">
      <w:pPr>
        <w:pStyle w:val="HTMLPreformatted"/>
        <w:spacing w:line="360" w:lineRule="auto"/>
        <w:rPr>
          <w:sz w:val="22"/>
          <w:szCs w:val="22"/>
        </w:rPr>
      </w:pPr>
      <w:r w:rsidRPr="00F90858">
        <w:rPr>
          <w:sz w:val="22"/>
          <w:szCs w:val="22"/>
        </w:rPr>
        <w:t>0            Naive Last  0.197224</w:t>
      </w:r>
    </w:p>
    <w:p w14:paraId="0E88C0B3" w14:textId="77777777" w:rsidR="00AF0764" w:rsidRPr="00F90858" w:rsidRDefault="00AF0764" w:rsidP="00BB1F51">
      <w:pPr>
        <w:pStyle w:val="HTMLPreformatted"/>
        <w:spacing w:line="360" w:lineRule="auto"/>
        <w:rPr>
          <w:sz w:val="22"/>
          <w:szCs w:val="22"/>
        </w:rPr>
      </w:pPr>
      <w:r w:rsidRPr="00F90858">
        <w:rPr>
          <w:sz w:val="22"/>
          <w:szCs w:val="22"/>
        </w:rPr>
        <w:t>2        Naive Seasonal  0.205604</w:t>
      </w:r>
    </w:p>
    <w:p w14:paraId="790DCB89" w14:textId="77777777" w:rsidR="00AF0764" w:rsidRDefault="00AF0764" w:rsidP="00BB1F51">
      <w:pPr>
        <w:pStyle w:val="HTMLPreformatted"/>
        <w:spacing w:line="360" w:lineRule="auto"/>
        <w:rPr>
          <w:sz w:val="22"/>
          <w:szCs w:val="22"/>
        </w:rPr>
      </w:pPr>
      <w:r w:rsidRPr="00F90858">
        <w:rPr>
          <w:sz w:val="22"/>
          <w:szCs w:val="22"/>
        </w:rPr>
        <w:t>1           Naive Drift  0.256290</w:t>
      </w:r>
    </w:p>
    <w:p w14:paraId="1AF2D945" w14:textId="77777777" w:rsidR="00BA0F29" w:rsidRPr="00F90858" w:rsidRDefault="00BA0F29" w:rsidP="00BB1F51">
      <w:pPr>
        <w:pStyle w:val="HTMLPreformatted"/>
        <w:spacing w:line="360" w:lineRule="auto"/>
        <w:rPr>
          <w:sz w:val="22"/>
          <w:szCs w:val="22"/>
        </w:rPr>
      </w:pPr>
    </w:p>
    <w:p w14:paraId="072CE48A" w14:textId="61C13540" w:rsidR="00843430" w:rsidRPr="00442591" w:rsidRDefault="00880713" w:rsidP="00BB1F51">
      <w:pPr>
        <w:shd w:val="clear" w:color="auto" w:fill="FFFFFF"/>
        <w:spacing w:line="360" w:lineRule="auto"/>
        <w:rPr>
          <w:color w:val="1F1F1F"/>
        </w:rPr>
      </w:pPr>
      <w:r>
        <w:rPr>
          <w:color w:val="1F1F1F"/>
        </w:rPr>
        <w:t>The results show that</w:t>
      </w:r>
      <w:r w:rsidR="00843430" w:rsidRPr="00BB1F51">
        <w:rPr>
          <w:color w:val="1F1F1F"/>
        </w:rPr>
        <w:t xml:space="preserve"> </w:t>
      </w:r>
      <w:r w:rsidR="00AF0764" w:rsidRPr="00BB1F51">
        <w:rPr>
          <w:color w:val="1F1F1F"/>
        </w:rPr>
        <w:t xml:space="preserve">combining the classical ETS model with XGBoost generates the lowest MAPE and outperforms models that only make predictions using a single target series.   </w:t>
      </w:r>
    </w:p>
    <w:p w14:paraId="38D11A36" w14:textId="77777777" w:rsidR="00442591" w:rsidRPr="00442591" w:rsidRDefault="00442591" w:rsidP="00F90858">
      <w:pPr>
        <w:shd w:val="clear" w:color="auto" w:fill="FFFFFF"/>
        <w:spacing w:before="240" w:line="360" w:lineRule="auto"/>
        <w:rPr>
          <w:color w:val="1F1F1F"/>
        </w:rPr>
      </w:pPr>
      <w:r w:rsidRPr="00442591">
        <w:rPr>
          <w:b/>
          <w:bCs/>
          <w:color w:val="1F1F1F"/>
        </w:rPr>
        <w:t>4.3 Interpretation of Results</w:t>
      </w:r>
    </w:p>
    <w:p w14:paraId="23BD6F59" w14:textId="77777777" w:rsidR="00AF0764" w:rsidRPr="00BB1F51" w:rsidRDefault="00442591" w:rsidP="00BB1F51">
      <w:pPr>
        <w:numPr>
          <w:ilvl w:val="0"/>
          <w:numId w:val="4"/>
        </w:numPr>
        <w:shd w:val="clear" w:color="auto" w:fill="FFFFFF"/>
        <w:spacing w:line="360" w:lineRule="auto"/>
        <w:rPr>
          <w:color w:val="1F1F1F"/>
        </w:rPr>
      </w:pPr>
      <w:r w:rsidRPr="00442591">
        <w:rPr>
          <w:color w:val="1F1F1F"/>
        </w:rPr>
        <w:t>Hybrid ETS + XGBoost</w:t>
      </w:r>
    </w:p>
    <w:p w14:paraId="6E1EE559" w14:textId="0B614B85" w:rsidR="00442591" w:rsidRPr="00442591" w:rsidRDefault="00442591" w:rsidP="00BB1F51">
      <w:pPr>
        <w:shd w:val="clear" w:color="auto" w:fill="FFFFFF"/>
        <w:spacing w:line="360" w:lineRule="auto"/>
        <w:ind w:left="425"/>
        <w:rPr>
          <w:color w:val="1F1F1F"/>
        </w:rPr>
      </w:pPr>
      <w:r w:rsidRPr="00442591">
        <w:rPr>
          <w:color w:val="1F1F1F"/>
        </w:rPr>
        <w:t xml:space="preserve">The hybrid model achieved the lowest forecasting error, outperforming all baselines. ETS captured the trend and seasonal patterns in PPI, while XGBoost modeled </w:t>
      </w:r>
      <w:r w:rsidR="00AF0764" w:rsidRPr="00BB1F51">
        <w:rPr>
          <w:color w:val="1F1F1F"/>
        </w:rPr>
        <w:t xml:space="preserve">the </w:t>
      </w:r>
      <w:r w:rsidRPr="00442591">
        <w:rPr>
          <w:color w:val="1F1F1F"/>
        </w:rPr>
        <w:t>nonlinear effects of macroeconomic factors on residuals. This approach effectively captured complex dynamics—such as supply shocks and energy market cycles—while maintaining interpretability and improving accuracy beyond classical methods.</w:t>
      </w:r>
    </w:p>
    <w:p w14:paraId="32517DCB" w14:textId="711FA712" w:rsidR="00442591" w:rsidRPr="00BB1F51" w:rsidRDefault="00442591" w:rsidP="00BB1F51">
      <w:pPr>
        <w:pStyle w:val="ListParagraph"/>
        <w:numPr>
          <w:ilvl w:val="0"/>
          <w:numId w:val="4"/>
        </w:numPr>
        <w:shd w:val="clear" w:color="auto" w:fill="FFFFFF"/>
        <w:spacing w:after="0" w:line="360" w:lineRule="auto"/>
        <w:rPr>
          <w:rFonts w:ascii="Times New Roman" w:hAnsi="Times New Roman" w:cs="Times New Roman"/>
          <w:color w:val="1F1F1F"/>
        </w:rPr>
      </w:pPr>
      <w:r w:rsidRPr="00BB1F51">
        <w:rPr>
          <w:rFonts w:ascii="Times New Roman" w:hAnsi="Times New Roman" w:cs="Times New Roman"/>
          <w:color w:val="1F1F1F"/>
        </w:rPr>
        <w:t>ETS</w:t>
      </w:r>
    </w:p>
    <w:p w14:paraId="7B53B553" w14:textId="77777777" w:rsidR="00442591" w:rsidRDefault="00442591" w:rsidP="00BB1F51">
      <w:pPr>
        <w:shd w:val="clear" w:color="auto" w:fill="FFFFFF"/>
        <w:spacing w:line="360" w:lineRule="auto"/>
        <w:ind w:left="360"/>
        <w:rPr>
          <w:color w:val="1F1F1F"/>
        </w:rPr>
      </w:pPr>
      <w:r w:rsidRPr="00442591">
        <w:rPr>
          <w:color w:val="1F1F1F"/>
        </w:rPr>
        <w:t>ETS alone performed strongly, reflecting the stable trend and seasonal structure of PPI. The modest gain from the hybrid model indicates that classical methods explain most variation, but external macroeconomic effects add predictive value.</w:t>
      </w:r>
    </w:p>
    <w:p w14:paraId="27417A8D" w14:textId="710E9D8A" w:rsidR="00BA0F29" w:rsidRPr="00442591" w:rsidRDefault="00BA0F29" w:rsidP="00BB1F51">
      <w:pPr>
        <w:shd w:val="clear" w:color="auto" w:fill="FFFFFF"/>
        <w:spacing w:line="360" w:lineRule="auto"/>
        <w:ind w:left="360"/>
        <w:rPr>
          <w:color w:val="1F1F1F"/>
        </w:rPr>
      </w:pPr>
      <w:r w:rsidRPr="00BA0F29">
        <w:rPr>
          <w:rStyle w:val="Strong"/>
          <w:rFonts w:eastAsiaTheme="majorEastAsia"/>
          <w:b w:val="0"/>
          <w:bCs w:val="0"/>
        </w:rPr>
        <w:t xml:space="preserve">3) </w:t>
      </w:r>
      <w:r>
        <w:rPr>
          <w:rStyle w:val="Strong"/>
          <w:rFonts w:eastAsiaTheme="majorEastAsia"/>
          <w:b w:val="0"/>
          <w:bCs w:val="0"/>
        </w:rPr>
        <w:t xml:space="preserve"> </w:t>
      </w:r>
      <w:r w:rsidRPr="00BA0F29">
        <w:rPr>
          <w:rStyle w:val="Strong"/>
          <w:rFonts w:eastAsiaTheme="majorEastAsia"/>
          <w:b w:val="0"/>
          <w:bCs w:val="0"/>
        </w:rPr>
        <w:t>Ensemble Model</w:t>
      </w:r>
      <w:r>
        <w:br/>
        <w:t>The ensemble of ETS and SARIMA improved over SARIMA individually but did not outperform ETS on its own. This suggests that simple averaging only provides benefits when component models contribute complementary information; since ETS already outperformed SARIMA and their errors are correlated, averaging diluted the stronger ETS signal rather than enhancing it.</w:t>
      </w:r>
    </w:p>
    <w:p w14:paraId="55603686" w14:textId="7A2C9362" w:rsidR="00442591" w:rsidRPr="00BB1F51" w:rsidRDefault="00442591" w:rsidP="00BB1F51">
      <w:pPr>
        <w:pStyle w:val="ListParagraph"/>
        <w:numPr>
          <w:ilvl w:val="0"/>
          <w:numId w:val="4"/>
        </w:numPr>
        <w:shd w:val="clear" w:color="auto" w:fill="FFFFFF"/>
        <w:spacing w:after="0" w:line="360" w:lineRule="auto"/>
        <w:rPr>
          <w:rFonts w:ascii="Times New Roman" w:hAnsi="Times New Roman" w:cs="Times New Roman"/>
          <w:color w:val="1F1F1F"/>
        </w:rPr>
      </w:pPr>
      <w:r w:rsidRPr="00BB1F51">
        <w:rPr>
          <w:rFonts w:ascii="Times New Roman" w:hAnsi="Times New Roman" w:cs="Times New Roman"/>
          <w:color w:val="1F1F1F"/>
        </w:rPr>
        <w:t>SARIMA</w:t>
      </w:r>
    </w:p>
    <w:p w14:paraId="671898CE" w14:textId="77777777" w:rsidR="00442591" w:rsidRPr="00442591" w:rsidRDefault="00442591" w:rsidP="00BB1F51">
      <w:pPr>
        <w:shd w:val="clear" w:color="auto" w:fill="FFFFFF"/>
        <w:spacing w:line="360" w:lineRule="auto"/>
        <w:ind w:left="360"/>
        <w:rPr>
          <w:color w:val="1F1F1F"/>
        </w:rPr>
      </w:pPr>
      <w:r w:rsidRPr="00442591">
        <w:rPr>
          <w:color w:val="1F1F1F"/>
        </w:rPr>
        <w:lastRenderedPageBreak/>
        <w:t>SARIMA achieved moderate accuracy. While it captures autocorrelation and seasonality, its linear assumptions and lack of exogenous variables limit its responsiveness to abrupt or nonlinear macroeconomic changes.</w:t>
      </w:r>
    </w:p>
    <w:p w14:paraId="35AB06C8" w14:textId="74E49904" w:rsidR="00442591" w:rsidRPr="00BB1F51" w:rsidRDefault="00442591" w:rsidP="00BB1F51">
      <w:pPr>
        <w:pStyle w:val="ListParagraph"/>
        <w:numPr>
          <w:ilvl w:val="0"/>
          <w:numId w:val="4"/>
        </w:numPr>
        <w:shd w:val="clear" w:color="auto" w:fill="FFFFFF"/>
        <w:spacing w:after="0" w:line="360" w:lineRule="auto"/>
        <w:rPr>
          <w:rFonts w:ascii="Times New Roman" w:hAnsi="Times New Roman" w:cs="Times New Roman"/>
          <w:color w:val="1F1F1F"/>
        </w:rPr>
      </w:pPr>
      <w:r w:rsidRPr="00BB1F51">
        <w:rPr>
          <w:rFonts w:ascii="Times New Roman" w:hAnsi="Times New Roman" w:cs="Times New Roman"/>
          <w:color w:val="1F1F1F"/>
        </w:rPr>
        <w:t>Naive Models</w:t>
      </w:r>
    </w:p>
    <w:p w14:paraId="7D2FE85D" w14:textId="77777777" w:rsidR="00442591" w:rsidRPr="00442591" w:rsidRDefault="00442591" w:rsidP="00BB1F51">
      <w:pPr>
        <w:shd w:val="clear" w:color="auto" w:fill="FFFFFF"/>
        <w:spacing w:line="360" w:lineRule="auto"/>
        <w:ind w:left="360"/>
        <w:rPr>
          <w:color w:val="1F1F1F"/>
        </w:rPr>
      </w:pPr>
      <w:r w:rsidRPr="00442591">
        <w:rPr>
          <w:color w:val="1F1F1F"/>
        </w:rPr>
        <w:t>Naive forecasts performed poorly, confirming the presence of meaningful structure and external drivers beyond simple persistence or trends.</w:t>
      </w:r>
    </w:p>
    <w:p w14:paraId="7F3094C9" w14:textId="77777777" w:rsidR="00442591" w:rsidRPr="00442591" w:rsidRDefault="00442591" w:rsidP="00F90858">
      <w:pPr>
        <w:shd w:val="clear" w:color="auto" w:fill="FFFFFF"/>
        <w:spacing w:before="240" w:after="240" w:line="360" w:lineRule="auto"/>
        <w:rPr>
          <w:color w:val="1F1F1F"/>
          <w:lang w:val="en-US"/>
        </w:rPr>
      </w:pPr>
      <w:r w:rsidRPr="00442591">
        <w:rPr>
          <w:b/>
          <w:bCs/>
          <w:color w:val="1F1F1F"/>
        </w:rPr>
        <w:t>5. Conclusion and Next Steps</w:t>
      </w:r>
    </w:p>
    <w:p w14:paraId="05C8EA92" w14:textId="2D719813" w:rsidR="00442591" w:rsidRPr="00442591" w:rsidRDefault="00442591" w:rsidP="00BB1F51">
      <w:pPr>
        <w:shd w:val="clear" w:color="auto" w:fill="FFFFFF"/>
        <w:spacing w:line="360" w:lineRule="auto"/>
        <w:rPr>
          <w:color w:val="1F1F1F"/>
        </w:rPr>
      </w:pPr>
      <w:r w:rsidRPr="00442591">
        <w:rPr>
          <w:color w:val="1F1F1F"/>
        </w:rPr>
        <w:t xml:space="preserve">In conclusion, this study demonstrates the effectiveness of classical time-series models for seasonal economic forecasting. While models such as ETS and SARIMA capture trend, seasonality, and autocorrelation, incorporating macroeconomic drivers through machine learning provides improvements in predictive accuracy. The </w:t>
      </w:r>
      <w:r w:rsidR="00BB1F51" w:rsidRPr="00BB1F51">
        <w:rPr>
          <w:color w:val="1F1F1F"/>
        </w:rPr>
        <w:t>two</w:t>
      </w:r>
      <w:r w:rsidRPr="00442591">
        <w:rPr>
          <w:color w:val="1F1F1F"/>
        </w:rPr>
        <w:t>-stage hybrid design, which combines ETS baseline forecasts with XGBoost residual corrections, outperforms direct approaches by capturing both intrinsic time-series structure and nonlinear effects from external economic variables.</w:t>
      </w:r>
    </w:p>
    <w:p w14:paraId="07DB86C9" w14:textId="1ED51D6D" w:rsidR="00442591" w:rsidRPr="00442591" w:rsidRDefault="00442591" w:rsidP="00BB1F51">
      <w:pPr>
        <w:shd w:val="clear" w:color="auto" w:fill="FFFFFF"/>
        <w:spacing w:line="360" w:lineRule="auto"/>
        <w:rPr>
          <w:color w:val="1F1F1F"/>
        </w:rPr>
      </w:pPr>
      <w:r w:rsidRPr="00442591">
        <w:rPr>
          <w:color w:val="1F1F1F"/>
        </w:rPr>
        <w:t>Moving forward, model performance could be further enhanced by expanding the set of macroeconomic features, exploring alternative machine learning techniques for residual forecasting</w:t>
      </w:r>
      <w:r w:rsidR="001D627F">
        <w:rPr>
          <w:color w:val="1F1F1F"/>
        </w:rPr>
        <w:t xml:space="preserve"> such </w:t>
      </w:r>
      <w:r w:rsidR="001D627F">
        <w:t xml:space="preserve">as long short-term memory (LSTM) networks or other recurrent neural architectures, </w:t>
      </w:r>
      <w:r w:rsidRPr="00442591">
        <w:rPr>
          <w:color w:val="1F1F1F"/>
        </w:rPr>
        <w:t xml:space="preserve">optimizing ensemble strategies, and </w:t>
      </w:r>
      <w:r w:rsidR="001D627F">
        <w:t>incorporating probabilistic forecasts with end-to-end deep learning models, like pretrained Time Series Transformers or the Temporal Fusion Transformer in PyTorch</w:t>
      </w:r>
      <w:r w:rsidR="001D627F">
        <w:rPr>
          <w:color w:val="1F1F1F"/>
        </w:rPr>
        <w:t xml:space="preserve">, which </w:t>
      </w:r>
      <w:r w:rsidR="001D627F">
        <w:t xml:space="preserve">would provide point forecasts, uncertainty estimates, and deeper insights into variable importance and nonlinear macroeconomic interactions. </w:t>
      </w:r>
      <w:r w:rsidRPr="00442591">
        <w:rPr>
          <w:color w:val="1F1F1F"/>
        </w:rPr>
        <w:t>These steps would provide a more robust framework for medium</w:t>
      </w:r>
      <w:r w:rsidR="001D627F">
        <w:rPr>
          <w:color w:val="1F1F1F"/>
        </w:rPr>
        <w:t xml:space="preserve"> </w:t>
      </w:r>
      <w:r w:rsidRPr="00442591">
        <w:rPr>
          <w:color w:val="1F1F1F"/>
        </w:rPr>
        <w:t>- to long-term energy price inflation forecasting and support informed decision-making in energy markets.</w:t>
      </w:r>
    </w:p>
    <w:p w14:paraId="786C033C" w14:textId="77777777" w:rsidR="00442591" w:rsidRPr="00BB1F51" w:rsidRDefault="00442591" w:rsidP="00BB1F51">
      <w:pPr>
        <w:spacing w:line="360" w:lineRule="auto"/>
      </w:pPr>
    </w:p>
    <w:sectPr w:rsidR="00442591" w:rsidRPr="00BB1F51">
      <w:headerReference w:type="even" r:id="rId22"/>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01EF" w14:textId="77777777" w:rsidR="003064C8" w:rsidRDefault="003064C8" w:rsidP="003019BC">
      <w:r>
        <w:separator/>
      </w:r>
    </w:p>
  </w:endnote>
  <w:endnote w:type="continuationSeparator" w:id="0">
    <w:p w14:paraId="569738E3" w14:textId="77777777" w:rsidR="003064C8" w:rsidRDefault="003064C8" w:rsidP="00301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tling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B5DD0" w14:textId="77777777" w:rsidR="003064C8" w:rsidRDefault="003064C8" w:rsidP="003019BC">
      <w:r>
        <w:separator/>
      </w:r>
    </w:p>
  </w:footnote>
  <w:footnote w:type="continuationSeparator" w:id="0">
    <w:p w14:paraId="41DD4EE7" w14:textId="77777777" w:rsidR="003064C8" w:rsidRDefault="003064C8" w:rsidP="00301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6554171"/>
      <w:docPartObj>
        <w:docPartGallery w:val="Page Numbers (Top of Page)"/>
        <w:docPartUnique/>
      </w:docPartObj>
    </w:sdtPr>
    <w:sdtContent>
      <w:p w14:paraId="016FF40D" w14:textId="6F4381A3" w:rsidR="003019BC" w:rsidRDefault="003019BC" w:rsidP="008953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F2B755" w14:textId="77777777" w:rsidR="003019BC" w:rsidRDefault="003019BC" w:rsidP="003019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7954772"/>
      <w:docPartObj>
        <w:docPartGallery w:val="Page Numbers (Top of Page)"/>
        <w:docPartUnique/>
      </w:docPartObj>
    </w:sdtPr>
    <w:sdtContent>
      <w:p w14:paraId="3EC6F39C" w14:textId="280E6EF7" w:rsidR="003019BC" w:rsidRDefault="003019BC" w:rsidP="0089535D">
        <w:pPr>
          <w:pStyle w:val="Header"/>
          <w:framePr w:wrap="none" w:vAnchor="text" w:hAnchor="margin" w:xAlign="right" w:y="1"/>
          <w:rPr>
            <w:rStyle w:val="PageNumber"/>
          </w:rPr>
        </w:pPr>
        <w:r>
          <w:rPr>
            <w:rStyle w:val="PageNumber"/>
          </w:rPr>
          <w:t xml:space="preserve">Zhao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8B5EF7" w14:textId="77777777" w:rsidR="003019BC" w:rsidRDefault="003019BC" w:rsidP="003019B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8ED"/>
    <w:multiLevelType w:val="multilevel"/>
    <w:tmpl w:val="A0F6995A"/>
    <w:lvl w:ilvl="0">
      <w:start w:val="1"/>
      <w:numFmt w:val="decimal"/>
      <w:lvlText w:val="%1)"/>
      <w:lvlJc w:val="left"/>
      <w:pPr>
        <w:ind w:left="785"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5572"/>
    <w:multiLevelType w:val="multilevel"/>
    <w:tmpl w:val="A0F6995A"/>
    <w:lvl w:ilvl="0">
      <w:start w:val="1"/>
      <w:numFmt w:val="decimal"/>
      <w:lvlText w:val="%1)"/>
      <w:lvlJc w:val="left"/>
      <w:pPr>
        <w:ind w:left="785"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1305C"/>
    <w:multiLevelType w:val="multilevel"/>
    <w:tmpl w:val="29089122"/>
    <w:lvl w:ilvl="0">
      <w:start w:val="1"/>
      <w:numFmt w:val="decimal"/>
      <w:lvlText w:val="%1)"/>
      <w:lvlJc w:val="left"/>
      <w:pPr>
        <w:ind w:left="785"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632DE"/>
    <w:multiLevelType w:val="multilevel"/>
    <w:tmpl w:val="A0F6995A"/>
    <w:lvl w:ilvl="0">
      <w:start w:val="1"/>
      <w:numFmt w:val="decimal"/>
      <w:lvlText w:val="%1)"/>
      <w:lvlJc w:val="left"/>
      <w:pPr>
        <w:ind w:left="785"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05BEA"/>
    <w:multiLevelType w:val="hybridMultilevel"/>
    <w:tmpl w:val="22F0A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6A12B2"/>
    <w:multiLevelType w:val="hybridMultilevel"/>
    <w:tmpl w:val="D29A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67112"/>
    <w:multiLevelType w:val="multilevel"/>
    <w:tmpl w:val="3750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713FF"/>
    <w:multiLevelType w:val="hybridMultilevel"/>
    <w:tmpl w:val="92EC0108"/>
    <w:lvl w:ilvl="0" w:tplc="04090011">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A1D3B"/>
    <w:multiLevelType w:val="multilevel"/>
    <w:tmpl w:val="3DBA7E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5EA06218"/>
    <w:multiLevelType w:val="multilevel"/>
    <w:tmpl w:val="EA8A62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6DD30923"/>
    <w:multiLevelType w:val="multilevel"/>
    <w:tmpl w:val="89D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02772"/>
    <w:multiLevelType w:val="hybridMultilevel"/>
    <w:tmpl w:val="EFF8B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5C4BD6"/>
    <w:multiLevelType w:val="multilevel"/>
    <w:tmpl w:val="29089122"/>
    <w:lvl w:ilvl="0">
      <w:start w:val="1"/>
      <w:numFmt w:val="decimal"/>
      <w:lvlText w:val="%1)"/>
      <w:lvlJc w:val="left"/>
      <w:pPr>
        <w:ind w:left="785"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C1FC7"/>
    <w:multiLevelType w:val="multilevel"/>
    <w:tmpl w:val="90F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186486">
    <w:abstractNumId w:val="2"/>
  </w:num>
  <w:num w:numId="2" w16cid:durableId="691614481">
    <w:abstractNumId w:val="8"/>
  </w:num>
  <w:num w:numId="3" w16cid:durableId="1421369627">
    <w:abstractNumId w:val="9"/>
  </w:num>
  <w:num w:numId="4" w16cid:durableId="805588687">
    <w:abstractNumId w:val="3"/>
  </w:num>
  <w:num w:numId="5" w16cid:durableId="1980838948">
    <w:abstractNumId w:val="1"/>
  </w:num>
  <w:num w:numId="6" w16cid:durableId="346635066">
    <w:abstractNumId w:val="0"/>
  </w:num>
  <w:num w:numId="7" w16cid:durableId="850022152">
    <w:abstractNumId w:val="10"/>
  </w:num>
  <w:num w:numId="8" w16cid:durableId="2010132535">
    <w:abstractNumId w:val="6"/>
  </w:num>
  <w:num w:numId="9" w16cid:durableId="931427316">
    <w:abstractNumId w:val="5"/>
  </w:num>
  <w:num w:numId="10" w16cid:durableId="2139492694">
    <w:abstractNumId w:val="7"/>
  </w:num>
  <w:num w:numId="11" w16cid:durableId="1861432926">
    <w:abstractNumId w:val="11"/>
  </w:num>
  <w:num w:numId="12" w16cid:durableId="2104642697">
    <w:abstractNumId w:val="12"/>
  </w:num>
  <w:num w:numId="13" w16cid:durableId="838733418">
    <w:abstractNumId w:val="4"/>
  </w:num>
  <w:num w:numId="14" w16cid:durableId="20295261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91"/>
    <w:rsid w:val="00016EC0"/>
    <w:rsid w:val="00106A3C"/>
    <w:rsid w:val="00124BFD"/>
    <w:rsid w:val="001523B3"/>
    <w:rsid w:val="001A47C1"/>
    <w:rsid w:val="001D627F"/>
    <w:rsid w:val="00221896"/>
    <w:rsid w:val="00261A5A"/>
    <w:rsid w:val="003019BC"/>
    <w:rsid w:val="00303610"/>
    <w:rsid w:val="003064C8"/>
    <w:rsid w:val="003D71E4"/>
    <w:rsid w:val="00442591"/>
    <w:rsid w:val="00497960"/>
    <w:rsid w:val="004F020D"/>
    <w:rsid w:val="005A5737"/>
    <w:rsid w:val="005C265B"/>
    <w:rsid w:val="006E12F5"/>
    <w:rsid w:val="00717916"/>
    <w:rsid w:val="00751396"/>
    <w:rsid w:val="00824F57"/>
    <w:rsid w:val="00837168"/>
    <w:rsid w:val="00843430"/>
    <w:rsid w:val="00880713"/>
    <w:rsid w:val="00AF0764"/>
    <w:rsid w:val="00BA0F29"/>
    <w:rsid w:val="00BB1F51"/>
    <w:rsid w:val="00F25251"/>
    <w:rsid w:val="00F53CDF"/>
    <w:rsid w:val="00F9085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C8648B"/>
  <w15:chartTrackingRefBased/>
  <w15:docId w15:val="{451D828F-EACC-CE4B-9695-D7E39DC3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25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425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425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4259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4259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4259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4259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4259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4259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2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591"/>
    <w:rPr>
      <w:rFonts w:eastAsiaTheme="majorEastAsia" w:cstheme="majorBidi"/>
      <w:color w:val="272727" w:themeColor="text1" w:themeTint="D8"/>
    </w:rPr>
  </w:style>
  <w:style w:type="paragraph" w:styleId="Title">
    <w:name w:val="Title"/>
    <w:basedOn w:val="Normal"/>
    <w:next w:val="Normal"/>
    <w:link w:val="TitleChar"/>
    <w:uiPriority w:val="10"/>
    <w:qFormat/>
    <w:rsid w:val="0044259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5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4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591"/>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42591"/>
    <w:rPr>
      <w:i/>
      <w:iCs/>
      <w:color w:val="404040" w:themeColor="text1" w:themeTint="BF"/>
    </w:rPr>
  </w:style>
  <w:style w:type="paragraph" w:styleId="ListParagraph">
    <w:name w:val="List Paragraph"/>
    <w:basedOn w:val="Normal"/>
    <w:uiPriority w:val="34"/>
    <w:qFormat/>
    <w:rsid w:val="00442591"/>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442591"/>
    <w:rPr>
      <w:i/>
      <w:iCs/>
      <w:color w:val="0F4761" w:themeColor="accent1" w:themeShade="BF"/>
    </w:rPr>
  </w:style>
  <w:style w:type="paragraph" w:styleId="IntenseQuote">
    <w:name w:val="Intense Quote"/>
    <w:basedOn w:val="Normal"/>
    <w:next w:val="Normal"/>
    <w:link w:val="IntenseQuoteChar"/>
    <w:uiPriority w:val="30"/>
    <w:qFormat/>
    <w:rsid w:val="004425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42591"/>
    <w:rPr>
      <w:i/>
      <w:iCs/>
      <w:color w:val="0F4761" w:themeColor="accent1" w:themeShade="BF"/>
    </w:rPr>
  </w:style>
  <w:style w:type="character" w:styleId="IntenseReference">
    <w:name w:val="Intense Reference"/>
    <w:basedOn w:val="DefaultParagraphFont"/>
    <w:uiPriority w:val="32"/>
    <w:qFormat/>
    <w:rsid w:val="00442591"/>
    <w:rPr>
      <w:b/>
      <w:bCs/>
      <w:smallCaps/>
      <w:color w:val="0F4761" w:themeColor="accent1" w:themeShade="BF"/>
      <w:spacing w:val="5"/>
    </w:rPr>
  </w:style>
  <w:style w:type="character" w:styleId="Strong">
    <w:name w:val="Strong"/>
    <w:basedOn w:val="DefaultParagraphFont"/>
    <w:uiPriority w:val="22"/>
    <w:qFormat/>
    <w:rsid w:val="00442591"/>
    <w:rPr>
      <w:b/>
      <w:bCs/>
    </w:rPr>
  </w:style>
  <w:style w:type="paragraph" w:styleId="NormalWeb">
    <w:name w:val="Normal (Web)"/>
    <w:basedOn w:val="Normal"/>
    <w:uiPriority w:val="99"/>
    <w:semiHidden/>
    <w:unhideWhenUsed/>
    <w:rsid w:val="00442591"/>
    <w:pPr>
      <w:spacing w:before="100" w:beforeAutospacing="1" w:after="100" w:afterAutospacing="1"/>
    </w:pPr>
  </w:style>
  <w:style w:type="paragraph" w:styleId="HTMLPreformatted">
    <w:name w:val="HTML Preformatted"/>
    <w:basedOn w:val="Normal"/>
    <w:link w:val="HTMLPreformattedChar"/>
    <w:uiPriority w:val="99"/>
    <w:unhideWhenUsed/>
    <w:rsid w:val="00442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42591"/>
    <w:rPr>
      <w:rFonts w:ascii="Courier New" w:eastAsia="Times New Roman" w:hAnsi="Courier New" w:cs="Courier New"/>
      <w:kern w:val="0"/>
      <w:sz w:val="20"/>
      <w:szCs w:val="20"/>
      <w14:ligatures w14:val="none"/>
    </w:rPr>
  </w:style>
  <w:style w:type="character" w:styleId="PlaceholderText">
    <w:name w:val="Placeholder Text"/>
    <w:basedOn w:val="DefaultParagraphFont"/>
    <w:uiPriority w:val="99"/>
    <w:semiHidden/>
    <w:rsid w:val="00124BFD"/>
    <w:rPr>
      <w:color w:val="666666"/>
    </w:rPr>
  </w:style>
  <w:style w:type="paragraph" w:customStyle="1" w:styleId="d2l-datalist-item">
    <w:name w:val="d2l-datalist-item"/>
    <w:basedOn w:val="Normal"/>
    <w:rsid w:val="003019BC"/>
    <w:pPr>
      <w:spacing w:before="100" w:beforeAutospacing="1" w:after="100" w:afterAutospacing="1"/>
    </w:pPr>
  </w:style>
  <w:style w:type="character" w:styleId="Hyperlink">
    <w:name w:val="Hyperlink"/>
    <w:basedOn w:val="DefaultParagraphFont"/>
    <w:uiPriority w:val="99"/>
    <w:semiHidden/>
    <w:unhideWhenUsed/>
    <w:rsid w:val="003019BC"/>
    <w:rPr>
      <w:color w:val="0000FF"/>
      <w:u w:val="single"/>
    </w:rPr>
  </w:style>
  <w:style w:type="character" w:styleId="FollowedHyperlink">
    <w:name w:val="FollowedHyperlink"/>
    <w:basedOn w:val="DefaultParagraphFont"/>
    <w:uiPriority w:val="99"/>
    <w:semiHidden/>
    <w:unhideWhenUsed/>
    <w:rsid w:val="003019BC"/>
    <w:rPr>
      <w:color w:val="96607D" w:themeColor="followedHyperlink"/>
      <w:u w:val="single"/>
    </w:rPr>
  </w:style>
  <w:style w:type="paragraph" w:styleId="Footer">
    <w:name w:val="footer"/>
    <w:basedOn w:val="Normal"/>
    <w:link w:val="FooterChar"/>
    <w:uiPriority w:val="99"/>
    <w:unhideWhenUsed/>
    <w:rsid w:val="003019BC"/>
    <w:pPr>
      <w:tabs>
        <w:tab w:val="center" w:pos="4680"/>
        <w:tab w:val="right" w:pos="9360"/>
      </w:tabs>
    </w:pPr>
  </w:style>
  <w:style w:type="character" w:customStyle="1" w:styleId="FooterChar">
    <w:name w:val="Footer Char"/>
    <w:basedOn w:val="DefaultParagraphFont"/>
    <w:link w:val="Footer"/>
    <w:uiPriority w:val="99"/>
    <w:rsid w:val="003019B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019BC"/>
  </w:style>
  <w:style w:type="paragraph" w:styleId="Header">
    <w:name w:val="header"/>
    <w:basedOn w:val="Normal"/>
    <w:link w:val="HeaderChar"/>
    <w:uiPriority w:val="99"/>
    <w:unhideWhenUsed/>
    <w:rsid w:val="003019BC"/>
    <w:pPr>
      <w:tabs>
        <w:tab w:val="center" w:pos="4680"/>
        <w:tab w:val="right" w:pos="9360"/>
      </w:tabs>
    </w:pPr>
  </w:style>
  <w:style w:type="character" w:customStyle="1" w:styleId="HeaderChar">
    <w:name w:val="Header Char"/>
    <w:basedOn w:val="DefaultParagraphFont"/>
    <w:link w:val="Header"/>
    <w:uiPriority w:val="99"/>
    <w:rsid w:val="003019B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12</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赵雨彤</dc:creator>
  <cp:keywords/>
  <dc:description/>
  <cp:lastModifiedBy>赵雨彤</cp:lastModifiedBy>
  <cp:revision>8</cp:revision>
  <dcterms:created xsi:type="dcterms:W3CDTF">2025-12-04T16:01:00Z</dcterms:created>
  <dcterms:modified xsi:type="dcterms:W3CDTF">2025-12-07T01:07:00Z</dcterms:modified>
</cp:coreProperties>
</file>