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EB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信控计复习</w:t>
      </w:r>
    </w:p>
    <w:p w14:paraId="650D8B5C">
      <w:pPr>
        <w:rPr>
          <w:rFonts w:hint="eastAsia"/>
          <w:lang w:val="en-US" w:eastAsia="zh-CN"/>
        </w:rPr>
      </w:pPr>
    </w:p>
    <w:p w14:paraId="4604E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第二章：</w:t>
      </w:r>
    </w:p>
    <w:p w14:paraId="19C51626">
      <w:pPr>
        <w:rPr>
          <w:rFonts w:hint="eastAsia"/>
          <w:lang w:val="en-US" w:eastAsia="zh-CN"/>
        </w:rPr>
      </w:pPr>
    </w:p>
    <w:p w14:paraId="78F7D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自信息：</w:t>
      </w:r>
    </w:p>
    <w:p w14:paraId="32736D10">
      <w:r>
        <w:drawing>
          <wp:inline distT="0" distB="0" distL="114300" distR="114300">
            <wp:extent cx="2464435" cy="1611630"/>
            <wp:effectExtent l="0" t="0" r="1206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BBE0E">
      <w:r>
        <w:rPr>
          <w:lang w:val="en-US" w:eastAsia="zh-CN"/>
        </w:rPr>
        <w:t>事件的自信息并不表示事件的不确定性，事件本身没有</w:t>
      </w:r>
      <w:r>
        <w:rPr>
          <w:rFonts w:hint="eastAsia"/>
          <w:lang w:val="en-US" w:eastAsia="zh-CN"/>
        </w:rPr>
        <w:t>不确定性可言，它要么是观察的假设和前提，要么是观察的结果</w:t>
      </w:r>
    </w:p>
    <w:p w14:paraId="469CB91E"/>
    <w:p w14:paraId="0C2F6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条件自信息定义</w:t>
      </w:r>
    </w:p>
    <w:p w14:paraId="13B02D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联合自信息定义</w:t>
      </w:r>
    </w:p>
    <w:p w14:paraId="40154410">
      <w:pPr>
        <w:rPr>
          <w:rFonts w:hint="default"/>
          <w:lang w:val="en-US" w:eastAsia="zh-CN"/>
        </w:rPr>
      </w:pPr>
    </w:p>
    <w:p w14:paraId="6D624D8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互信息</w:t>
      </w:r>
      <w:r>
        <w:rPr>
          <w:rFonts w:hint="eastAsia"/>
          <w:lang w:val="en-US" w:eastAsia="zh-CN"/>
        </w:rPr>
        <w:t>：</w:t>
      </w:r>
    </w:p>
    <w:p w14:paraId="6145A0D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84120" cy="1245870"/>
            <wp:effectExtent l="0" t="0" r="508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5D76E">
      <w:r>
        <w:drawing>
          <wp:inline distT="0" distB="0" distL="114300" distR="114300">
            <wp:extent cx="2491105" cy="1558290"/>
            <wp:effectExtent l="0" t="0" r="1079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804EB"/>
    <w:p w14:paraId="08E4284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变量的平均自信息——熵</w:t>
      </w:r>
    </w:p>
    <w:p w14:paraId="59C40356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自信息是随机的，自信息的平均值更有代表性</w:t>
      </w:r>
      <w:r>
        <w:rPr>
          <w:rFonts w:hint="eastAsia"/>
          <w:b w:val="0"/>
          <w:bCs w:val="0"/>
          <w:lang w:val="en-US" w:eastAsia="zh-CN"/>
        </w:rPr>
        <w:t xml:space="preserve"> ，自信息的平均代表随机变量X的平均确定性</w:t>
      </w:r>
    </w:p>
    <w:p w14:paraId="0FBB2104">
      <w:pPr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3195320" cy="1962785"/>
            <wp:effectExtent l="0" t="0" r="508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9AE2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条件熵</w:t>
      </w:r>
      <w:r>
        <w:rPr>
          <w:rFonts w:hint="eastAsia"/>
          <w:b/>
          <w:bCs/>
          <w:lang w:val="en-US" w:eastAsia="zh-CN"/>
        </w:rPr>
        <w:t>：</w:t>
      </w:r>
      <w:r>
        <w:drawing>
          <wp:inline distT="0" distB="0" distL="114300" distR="114300">
            <wp:extent cx="2054860" cy="144399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80B3">
      <w:pPr>
        <w:rPr>
          <w:rFonts w:hint="default"/>
          <w:b/>
          <w:bCs/>
          <w:lang w:val="en-US" w:eastAsia="zh-CN"/>
        </w:rPr>
      </w:pPr>
    </w:p>
    <w:p w14:paraId="7E32DE7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联合熵</w:t>
      </w:r>
    </w:p>
    <w:p w14:paraId="018CBCA9">
      <w:pPr>
        <w:rPr>
          <w:rFonts w:hint="default"/>
          <w:b/>
          <w:bCs/>
          <w:lang w:val="en-US" w:eastAsia="zh-CN"/>
        </w:rPr>
      </w:pPr>
    </w:p>
    <w:p w14:paraId="6FCB023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平均互信息：</w:t>
      </w:r>
    </w:p>
    <w:p w14:paraId="144E21EE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3273425" cy="2519045"/>
            <wp:effectExtent l="0" t="0" r="317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E920A">
      <w:pPr>
        <w:rPr>
          <w:rFonts w:hint="default"/>
          <w:b/>
          <w:bCs/>
          <w:lang w:val="en-US" w:eastAsia="zh-CN"/>
        </w:rPr>
      </w:pPr>
    </w:p>
    <w:p w14:paraId="15FA10E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平均互信息的性质：</w:t>
      </w:r>
    </w:p>
    <w:p w14:paraId="6083CB38">
      <w:pPr>
        <w:rPr>
          <w:rFonts w:hint="default"/>
          <w:b w:val="0"/>
          <w:bCs w:val="0"/>
          <w:lang w:val="en-US" w:eastAsia="zh-CN"/>
        </w:rPr>
      </w:pPr>
    </w:p>
    <w:p w14:paraId="7B8E2BCD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相对熵（散度）</w:t>
      </w:r>
      <w:r>
        <w:rPr>
          <w:rFonts w:hint="eastAsia"/>
          <w:b/>
          <w:bCs/>
          <w:lang w:val="en-US" w:eastAsia="zh-CN"/>
        </w:rPr>
        <w:t>：</w:t>
      </w:r>
    </w:p>
    <w:p w14:paraId="16F17C63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2202815" cy="1512570"/>
            <wp:effectExtent l="0" t="0" r="6985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6795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相对熵的性质</w:t>
      </w:r>
    </w:p>
    <w:p w14:paraId="24B9896F">
      <w:pPr>
        <w:rPr>
          <w:rFonts w:hint="default"/>
          <w:b/>
          <w:bCs/>
          <w:lang w:val="en-US" w:eastAsia="zh-CN"/>
        </w:rPr>
      </w:pPr>
    </w:p>
    <w:p w14:paraId="222C35B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关于疑义度的Fano不等式</w:t>
      </w:r>
    </w:p>
    <w:p w14:paraId="6535EA05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2559050" cy="1888490"/>
            <wp:effectExtent l="0" t="0" r="635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76AC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马尔可夫链</w:t>
      </w:r>
    </w:p>
    <w:p w14:paraId="0BB05421">
      <w:pPr>
        <w:rPr>
          <w:rFonts w:hint="default"/>
          <w:lang w:val="en-US" w:eastAsia="zh-CN"/>
        </w:rPr>
      </w:pPr>
    </w:p>
    <w:p w14:paraId="675C901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连续随机变量的概率密度</w:t>
      </w:r>
    </w:p>
    <w:p w14:paraId="09834DE1">
      <w:r>
        <w:drawing>
          <wp:inline distT="0" distB="0" distL="114300" distR="114300">
            <wp:extent cx="2525395" cy="2124075"/>
            <wp:effectExtent l="0" t="0" r="190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539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1B95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连续随机变量的互信息</w:t>
      </w:r>
    </w:p>
    <w:p w14:paraId="4EB06D9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连续随机变量的微分熵</w:t>
      </w:r>
    </w:p>
    <w:p w14:paraId="6E4348BB">
      <w:r>
        <w:drawing>
          <wp:inline distT="0" distB="0" distL="114300" distR="114300">
            <wp:extent cx="2436495" cy="1673225"/>
            <wp:effectExtent l="0" t="0" r="190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6495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20EF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微分熵的本质和性质</w:t>
      </w:r>
    </w:p>
    <w:p w14:paraId="0A1C1542">
      <w:r>
        <w:drawing>
          <wp:inline distT="0" distB="0" distL="114300" distR="114300">
            <wp:extent cx="2980055" cy="2035175"/>
            <wp:effectExtent l="0" t="0" r="444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BA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微分熵的极大化（I）：峰值受限</w:t>
      </w:r>
    </w:p>
    <w:p w14:paraId="16E373ED">
      <w:r>
        <w:drawing>
          <wp:inline distT="0" distB="0" distL="114300" distR="114300">
            <wp:extent cx="3230880" cy="2427605"/>
            <wp:effectExtent l="0" t="0" r="762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030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微分熵的极大化（II）：功率受限</w:t>
      </w:r>
    </w:p>
    <w:p w14:paraId="1FCB88B4">
      <w:r>
        <w:drawing>
          <wp:inline distT="0" distB="0" distL="114300" distR="114300">
            <wp:extent cx="3161665" cy="2423160"/>
            <wp:effectExtent l="0" t="0" r="63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58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熵功率</w:t>
      </w:r>
    </w:p>
    <w:p w14:paraId="6A09644E">
      <w:r>
        <w:drawing>
          <wp:inline distT="0" distB="0" distL="114300" distR="114300">
            <wp:extent cx="2506980" cy="1797685"/>
            <wp:effectExtent l="0" t="0" r="762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49220" cy="1748790"/>
            <wp:effectExtent l="0" t="0" r="508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41983"/>
    <w:p w14:paraId="222FABAF">
      <w:pPr>
        <w:rPr>
          <w:rFonts w:hint="default"/>
          <w:highlight w:val="yellow"/>
          <w:lang w:val="en-US" w:eastAsia="zh-CN"/>
        </w:rPr>
      </w:pPr>
      <w:r>
        <w:rPr>
          <w:rFonts w:hint="default"/>
          <w:b/>
          <w:bCs/>
          <w:highlight w:val="yellow"/>
          <w:lang w:val="en-US" w:eastAsia="zh-CN"/>
        </w:rPr>
        <w:t>平稳源</w:t>
      </w:r>
      <w:r>
        <w:rPr>
          <w:rFonts w:hint="eastAsia"/>
          <w:b/>
          <w:bCs/>
          <w:highlight w:val="yellow"/>
          <w:lang w:val="en-US" w:eastAsia="zh-CN"/>
        </w:rPr>
        <w:t>（没懂）</w:t>
      </w:r>
    </w:p>
    <w:p w14:paraId="3BEF0C80">
      <w:pPr>
        <w:rPr>
          <w:rFonts w:hint="default"/>
          <w:highlight w:val="yellow"/>
          <w:lang w:val="en-US" w:eastAsia="zh-CN"/>
        </w:rPr>
      </w:pPr>
    </w:p>
    <w:p w14:paraId="32EE028C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default"/>
          <w:b/>
          <w:bCs/>
          <w:highlight w:val="yellow"/>
          <w:lang w:val="en-US" w:eastAsia="zh-CN"/>
        </w:rPr>
        <w:t>马尔科夫源</w:t>
      </w:r>
      <w:r>
        <w:rPr>
          <w:rFonts w:hint="eastAsia"/>
          <w:b/>
          <w:bCs/>
          <w:highlight w:val="yellow"/>
          <w:lang w:val="en-US" w:eastAsia="zh-CN"/>
        </w:rPr>
        <w:t>（感觉PPT不是很理解，但是题目能理解）</w:t>
      </w:r>
    </w:p>
    <w:p w14:paraId="74613132">
      <w:pPr>
        <w:rPr>
          <w:rFonts w:hint="default"/>
          <w:lang w:val="en-US" w:eastAsia="zh-CN"/>
        </w:rPr>
      </w:pPr>
    </w:p>
    <w:p w14:paraId="54E87AFF">
      <w:pPr>
        <w:rPr>
          <w:rFonts w:hint="default"/>
          <w:lang w:val="en-US" w:eastAsia="zh-CN"/>
        </w:rPr>
      </w:pPr>
    </w:p>
    <w:p w14:paraId="2C554E4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第三章：信息感知与压缩</w:t>
      </w:r>
    </w:p>
    <w:p w14:paraId="5DC429B0">
      <w:pPr>
        <w:rPr>
          <w:rFonts w:hint="eastAsia"/>
          <w:b/>
          <w:bCs/>
          <w:lang w:val="en-US" w:eastAsia="zh-CN"/>
        </w:rPr>
      </w:pPr>
    </w:p>
    <w:p w14:paraId="1C529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信息压缩（信源编码）</w:t>
      </w:r>
    </w:p>
    <w:p w14:paraId="455AC8D6">
      <w:pPr>
        <w:rPr>
          <w:rFonts w:hint="default"/>
          <w:lang w:val="en-US" w:eastAsia="zh-CN"/>
        </w:rPr>
      </w:pPr>
    </w:p>
    <w:p w14:paraId="507FBB9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离散无记忆信源（DMS）的编码</w:t>
      </w:r>
    </w:p>
    <w:p w14:paraId="1A8B0B15">
      <w:bookmarkStart w:id="0" w:name="_GoBack"/>
      <w:bookmarkEnd w:id="0"/>
      <w:r>
        <w:drawing>
          <wp:inline distT="0" distB="0" distL="114300" distR="114300">
            <wp:extent cx="3115310" cy="2360295"/>
            <wp:effectExtent l="0" t="0" r="889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605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a绝对无差错</w:t>
      </w:r>
    </w:p>
    <w:p w14:paraId="5C2BC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等长/不等长</w:t>
      </w:r>
    </w:p>
    <w:p w14:paraId="46B80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（Shannon信源编码定理）</w:t>
      </w:r>
    </w:p>
    <w:p w14:paraId="149BD72E">
      <w:pPr>
        <w:rPr>
          <w:rFonts w:hint="eastAsia"/>
          <w:lang w:val="en-US" w:eastAsia="zh-CN"/>
        </w:rPr>
      </w:pPr>
    </w:p>
    <w:p w14:paraId="3696E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渐进无差错</w:t>
      </w:r>
    </w:p>
    <w:p w14:paraId="794AC14A">
      <w:r>
        <w:drawing>
          <wp:inline distT="0" distB="0" distL="114300" distR="114300">
            <wp:extent cx="3491230" cy="2501900"/>
            <wp:effectExtent l="0" t="0" r="127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C20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AEP性质</w:t>
      </w:r>
      <w:r>
        <w:rPr>
          <w:rFonts w:hint="eastAsia"/>
          <w:lang w:val="en-US" w:eastAsia="zh-CN"/>
        </w:rPr>
        <w:t>：</w:t>
      </w:r>
    </w:p>
    <w:p w14:paraId="4D250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联合典型列</w:t>
      </w:r>
    </w:p>
    <w:p w14:paraId="591C478D">
      <w:pPr>
        <w:rPr>
          <w:rFonts w:hint="eastAsia"/>
          <w:lang w:val="en-US" w:eastAsia="zh-CN"/>
        </w:rPr>
      </w:pPr>
    </w:p>
    <w:p w14:paraId="11F96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以上基本都是无损</w:t>
      </w:r>
    </w:p>
    <w:p w14:paraId="4B337976">
      <w:pPr>
        <w:rPr>
          <w:rFonts w:hint="eastAsia"/>
          <w:lang w:val="en-US" w:eastAsia="zh-CN"/>
        </w:rPr>
      </w:pPr>
    </w:p>
    <w:p w14:paraId="18757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接下来有损：</w:t>
      </w:r>
    </w:p>
    <w:p w14:paraId="29BE5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第五章：</w:t>
      </w:r>
    </w:p>
    <w:p w14:paraId="03792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率失真函数的定义：</w:t>
      </w:r>
    </w:p>
    <w:p w14:paraId="306321F7">
      <w:pPr>
        <w:rPr>
          <w:rFonts w:hint="eastAsia"/>
          <w:lang w:val="en-US" w:eastAsia="zh-CN"/>
        </w:rPr>
      </w:pPr>
    </w:p>
    <w:p w14:paraId="52F6DFC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552700" cy="1338580"/>
            <wp:effectExtent l="0" t="0" r="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192C6">
      <w:pPr>
        <w:rPr>
          <w:rFonts w:hint="eastAsia"/>
          <w:lang w:val="en-US" w:eastAsia="zh-CN"/>
        </w:rPr>
      </w:pPr>
    </w:p>
    <w:p w14:paraId="7F7CA806">
      <w:pPr>
        <w:rPr>
          <w:rFonts w:hint="default"/>
          <w:lang w:val="en-US" w:eastAsia="zh-CN"/>
        </w:rPr>
      </w:pPr>
    </w:p>
    <w:p w14:paraId="2A78811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信道、信道容量及 信道编码定理</w:t>
      </w:r>
    </w:p>
    <w:p w14:paraId="1E408B7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信道容量：</w:t>
      </w:r>
    </w:p>
    <w:p w14:paraId="59E8088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CEEA15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847975" cy="1974850"/>
            <wp:effectExtent l="0" t="0" r="9525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8DF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1E6153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离散无记忆信道（DMC）容量</w:t>
      </w:r>
    </w:p>
    <w:p w14:paraId="532C411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233930" cy="878840"/>
            <wp:effectExtent l="0" t="0" r="1270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2627">
      <w:pPr>
        <w:widowControl w:val="0"/>
        <w:numPr>
          <w:ilvl w:val="0"/>
          <w:numId w:val="0"/>
        </w:numPr>
        <w:jc w:val="both"/>
      </w:pPr>
    </w:p>
    <w:p w14:paraId="5B6E490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给了几个例子：</w:t>
      </w:r>
    </w:p>
    <w:p w14:paraId="2F29B40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1440815" cy="974090"/>
            <wp:effectExtent l="0" t="0" r="6985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99870" cy="1044575"/>
            <wp:effectExtent l="0" t="0" r="1143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40130" cy="789305"/>
            <wp:effectExtent l="0" t="0" r="1270" b="1079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40130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5770" cy="1162685"/>
            <wp:effectExtent l="0" t="0" r="1143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59560" cy="1173480"/>
            <wp:effectExtent l="0" t="0" r="254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5956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87830" cy="1210945"/>
            <wp:effectExtent l="0" t="0" r="1270" b="825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A06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E50E72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离散无记忆信道的容量定理</w:t>
      </w:r>
      <w:r>
        <w:rPr>
          <w:rFonts w:hint="eastAsia"/>
          <w:lang w:val="en-US" w:eastAsia="zh-CN"/>
        </w:rPr>
        <w:t>：</w:t>
      </w:r>
    </w:p>
    <w:p w14:paraId="2D0F5FF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253230" cy="2165350"/>
            <wp:effectExtent l="0" t="0" r="127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FC58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555C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对称离散无记忆信道</w:t>
      </w:r>
      <w:r>
        <w:rPr>
          <w:rFonts w:hint="eastAsia"/>
          <w:lang w:val="en-US" w:eastAsia="zh-CN"/>
        </w:rPr>
        <w:t>：</w:t>
      </w:r>
    </w:p>
    <w:p w14:paraId="3039AD2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准对称离散无记忆信道的容量定理</w:t>
      </w:r>
      <w:r>
        <w:rPr>
          <w:rFonts w:hint="eastAsia"/>
          <w:lang w:val="en-US" w:eastAsia="zh-CN"/>
        </w:rPr>
        <w:t xml:space="preserve">：达到准对称离散无记忆信道容量的输入分布为均匀分布。 </w:t>
      </w:r>
    </w:p>
    <w:p w14:paraId="2D48A59D">
      <w:r>
        <w:drawing>
          <wp:inline distT="0" distB="0" distL="114300" distR="114300">
            <wp:extent cx="1721485" cy="1274445"/>
            <wp:effectExtent l="0" t="0" r="5715" b="825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98930" cy="1151890"/>
            <wp:effectExtent l="0" t="0" r="127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893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05940" cy="1197610"/>
            <wp:effectExtent l="0" t="0" r="10160" b="889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F759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835785" cy="1336675"/>
            <wp:effectExtent l="0" t="0" r="5715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4F122">
      <w:pPr>
        <w:rPr>
          <w:rFonts w:hint="default"/>
          <w:lang w:val="en-US" w:eastAsia="zh-CN"/>
        </w:rPr>
      </w:pPr>
    </w:p>
    <w:p w14:paraId="3B597D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信道的组合</w:t>
      </w:r>
    </w:p>
    <w:p w14:paraId="5B45B2B4">
      <w:pPr>
        <w:rPr>
          <w:rFonts w:hint="default"/>
          <w:lang w:val="en-US" w:eastAsia="zh-CN"/>
        </w:rPr>
      </w:pPr>
    </w:p>
    <w:p w14:paraId="0B6072A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D2EBF6"/>
    <w:multiLevelType w:val="singleLevel"/>
    <w:tmpl w:val="DCD2EBF6"/>
    <w:lvl w:ilvl="0" w:tentative="0">
      <w:start w:val="4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F065DB"/>
    <w:rsid w:val="4843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491</Words>
  <Characters>510</Characters>
  <Lines>0</Lines>
  <Paragraphs>0</Paragraphs>
  <TotalTime>5</TotalTime>
  <ScaleCrop>false</ScaleCrop>
  <LinksUpToDate>false</LinksUpToDate>
  <CharactersWithSpaces>514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2024-12-14T03:09:00Z</dcterms:created>
  <dc:creator>WPS_1656287023</dc:creator>
  <cp:lastModifiedBy>WPS_1656287023</cp:lastModifiedBy>
  <dcterms:modified xsi:type="dcterms:W3CDTF">2024-12-16T04:13:57Z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9A9CD1172FF045BF9FD1730C2CBB8D81_11</vt:lpwstr>
  </property>
</Properties>
</file>