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59"/>
        <w:rPr/>
      </w:pPr>
      <w:r/>
    </w:p>
    <w:p>
      <w:pPr>
        <w:spacing w:before="58"/>
        <w:rPr/>
      </w:pPr>
      <w:r/>
    </w:p>
    <w:p>
      <w:pPr>
        <w:sectPr>
          <w:headerReference w:type="default" r:id="rId1"/>
          <w:pgSz w:w="12800" w:h="7200"/>
          <w:pgMar w:top="400" w:right="0" w:bottom="0" w:left="0" w:header="0" w:footer="0" w:gutter="0"/>
          <w:cols w:equalWidth="0" w:num="1">
            <w:col w:w="12800" w:space="0"/>
          </w:cols>
        </w:sectPr>
        <w:rPr/>
      </w:pP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040"/>
        <w:spacing w:before="48" w:line="212" w:lineRule="auto"/>
        <w:outlineLvl w:val="0"/>
        <w:rPr>
          <w:sz w:val="15"/>
          <w:szCs w:val="15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-809787</wp:posOffset>
            </wp:positionV>
            <wp:extent cx="8128000" cy="45720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6"/>
        </w:rPr>
        <w:t>2.2 QD-LED</w:t>
      </w:r>
      <w:r>
        <w:rPr>
          <w:sz w:val="15"/>
          <w:szCs w:val="15"/>
          <w:b/>
          <w:bCs/>
          <w:spacing w:val="-6"/>
        </w:rPr>
        <w:t>工作机理和结构选择</w:t>
      </w:r>
    </w:p>
    <w:p>
      <w:pPr>
        <w:pStyle w:val="BodyText"/>
        <w:ind w:left="1229"/>
        <w:spacing w:before="126" w:line="219" w:lineRule="auto"/>
        <w:rPr/>
      </w:pPr>
      <w:r>
        <w:rPr>
          <w:spacing w:val="-5"/>
        </w:rPr>
        <w:t>柔性/可穿裁的</w:t>
      </w:r>
      <w:r>
        <w:rPr>
          <w:rFonts w:ascii="Arial" w:hAnsi="Arial" w:eastAsia="Arial" w:cs="Arial"/>
          <w:spacing w:val="-5"/>
        </w:rPr>
        <w:t>QD-LED</w:t>
      </w:r>
      <w:r>
        <w:rPr>
          <w:spacing w:val="-5"/>
        </w:rPr>
        <w:t>的器件结构在很大程度上采用了通用</w:t>
      </w:r>
      <w:r>
        <w:rPr>
          <w:rFonts w:ascii="Arial" w:hAnsi="Arial" w:eastAsia="Arial" w:cs="Arial"/>
          <w:spacing w:val="-5"/>
        </w:rPr>
        <w:t>Q</w:t>
      </w:r>
      <w:r>
        <w:rPr>
          <w:rFonts w:ascii="Arial" w:hAnsi="Arial" w:eastAsia="Arial" w:cs="Arial"/>
          <w:spacing w:val="-6"/>
        </w:rPr>
        <w:t>D-LED</w:t>
      </w:r>
      <w:r>
        <w:rPr>
          <w:spacing w:val="-6"/>
        </w:rPr>
        <w:t>结构，并进行了一些修改以实</w:t>
      </w:r>
    </w:p>
    <w:p>
      <w:pPr>
        <w:pStyle w:val="BodyText"/>
        <w:ind w:left="1040" w:right="1044"/>
        <w:spacing w:before="32" w:line="245" w:lineRule="auto"/>
        <w:rPr/>
      </w:pPr>
      <w:r>
        <w:rPr>
          <w:spacing w:val="-3"/>
        </w:rPr>
        <w:t>现高变形性。QDLED</w:t>
      </w:r>
      <w:r>
        <w:rPr>
          <w:spacing w:val="16"/>
          <w:w w:val="101"/>
        </w:rPr>
        <w:t xml:space="preserve">  </w:t>
      </w:r>
      <w:r>
        <w:rPr>
          <w:spacing w:val="-3"/>
        </w:rPr>
        <w:t>的一般结构由阳极、电子传输层(ETLS)、</w:t>
      </w:r>
      <w:r>
        <w:rPr>
          <w:spacing w:val="-4"/>
        </w:rPr>
        <w:t>QD</w:t>
      </w:r>
      <w:r>
        <w:rPr>
          <w:spacing w:val="16"/>
        </w:rPr>
        <w:t xml:space="preserve">  </w:t>
      </w:r>
      <w:r>
        <w:rPr>
          <w:spacing w:val="-4"/>
        </w:rPr>
        <w:t>层、空穴传输层(HTLs)</w:t>
      </w:r>
      <w:r>
        <w:rPr>
          <w:spacing w:val="31"/>
          <w:w w:val="101"/>
        </w:rPr>
        <w:t xml:space="preserve"> </w:t>
      </w:r>
      <w:r>
        <w:rPr>
          <w:spacing w:val="-4"/>
        </w:rPr>
        <w:t>和阴极组</w:t>
      </w:r>
      <w:r>
        <w:rPr/>
        <w:t xml:space="preserve"> </w:t>
      </w:r>
      <w:r>
        <w:rPr>
          <w:spacing w:val="-6"/>
        </w:rPr>
        <w:t>成，如图2-3.a</w:t>
      </w:r>
      <w:r>
        <w:rPr>
          <w:spacing w:val="-16"/>
        </w:rPr>
        <w:t xml:space="preserve"> </w:t>
      </w:r>
      <w:r>
        <w:rPr>
          <w:spacing w:val="-6"/>
        </w:rPr>
        <w:t>所示，QD-LED</w:t>
      </w:r>
      <w:r>
        <w:rPr>
          <w:spacing w:val="23"/>
        </w:rPr>
        <w:t xml:space="preserve"> </w:t>
      </w:r>
      <w:r>
        <w:rPr>
          <w:spacing w:val="-6"/>
        </w:rPr>
        <w:t>的工作机制</w:t>
      </w:r>
      <w:r>
        <w:rPr>
          <w:spacing w:val="-7"/>
        </w:rPr>
        <w:t>如下：</w:t>
      </w:r>
    </w:p>
    <w:p>
      <w:pPr>
        <w:pStyle w:val="BodyText"/>
        <w:ind w:left="1229" w:right="3291"/>
        <w:spacing w:before="114" w:line="357" w:lineRule="auto"/>
        <w:rPr/>
      </w:pPr>
      <w:r>
        <w:rPr>
          <w:spacing w:val="-6"/>
        </w:rPr>
        <w:t>(10)电子和空穴从电极注入电荷传输层</w:t>
      </w:r>
      <w:r>
        <w:rPr>
          <w:spacing w:val="-7"/>
        </w:rPr>
        <w:t>(CTLS):</w:t>
      </w:r>
      <w:r>
        <w:rPr/>
        <w:t xml:space="preserve"> </w:t>
      </w:r>
      <w:r>
        <w:rPr>
          <w:spacing w:val="-3"/>
        </w:rPr>
        <w:t>()将所述载流子从</w:t>
      </w:r>
      <w:r>
        <w:rPr>
          <w:spacing w:val="-17"/>
        </w:rPr>
        <w:t xml:space="preserve"> </w:t>
      </w:r>
      <w:r>
        <w:rPr>
          <w:spacing w:val="-3"/>
        </w:rPr>
        <w:t>CTLS注入QDs 中；</w:t>
      </w:r>
    </w:p>
    <w:p>
      <w:pPr>
        <w:pStyle w:val="BodyText"/>
        <w:ind w:left="1229"/>
        <w:spacing w:before="43" w:line="218" w:lineRule="auto"/>
        <w:rPr/>
      </w:pPr>
      <w:r>
        <w:rPr>
          <w:spacing w:val="-4"/>
        </w:rPr>
        <w:t>(II)注入载流子的幅射复合发生在量子点中</w:t>
      </w:r>
      <w:r>
        <w:rPr>
          <w:spacing w:val="-5"/>
        </w:rPr>
        <w:t>(如图2-3.b)。</w:t>
      </w:r>
    </w:p>
    <w:p>
      <w:pPr>
        <w:pStyle w:val="BodyText"/>
        <w:ind w:left="1039" w:right="1095" w:firstLine="189"/>
        <w:spacing w:before="112" w:line="232" w:lineRule="auto"/>
        <w:rPr/>
      </w:pPr>
      <w:r>
        <w:rPr>
          <w:spacing w:val="-3"/>
        </w:rPr>
        <w:t>QLED </w:t>
      </w:r>
      <w:r>
        <w:rPr>
          <w:rFonts w:ascii="SimHei" w:hAnsi="SimHei" w:eastAsia="SimHei" w:cs="SimHei"/>
          <w:spacing w:val="-3"/>
        </w:rPr>
        <w:t>的性能和稳定性在很大程度上取决于</w:t>
      </w:r>
      <w:r>
        <w:rPr>
          <w:spacing w:val="-3"/>
        </w:rPr>
        <w:t>CTLs</w:t>
      </w:r>
      <w:r>
        <w:rPr>
          <w:rFonts w:ascii="SimHei" w:hAnsi="SimHei" w:eastAsia="SimHei" w:cs="SimHei"/>
          <w:spacing w:val="-3"/>
        </w:rPr>
        <w:t>材料的选</w:t>
      </w:r>
      <w:r>
        <w:rPr>
          <w:rFonts w:ascii="SimHei" w:hAnsi="SimHei" w:eastAsia="SimHei" w:cs="SimHei"/>
          <w:spacing w:val="-4"/>
        </w:rPr>
        <w:t>择。良好的</w:t>
      </w:r>
      <w:r>
        <w:rPr>
          <w:spacing w:val="-4"/>
        </w:rPr>
        <w:t>CTLs</w:t>
      </w:r>
      <w:r>
        <w:rPr>
          <w:rFonts w:ascii="SimHei" w:hAnsi="SimHei" w:eastAsia="SimHei" w:cs="SimHei"/>
          <w:spacing w:val="-4"/>
        </w:rPr>
        <w:t>应该具有高的载流子迁移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-4"/>
        </w:rPr>
        <w:t>率井且很好地平衡电子/空穴注入。根据</w:t>
      </w:r>
      <w:r>
        <w:rPr>
          <w:spacing w:val="-4"/>
        </w:rPr>
        <w:t>CTLs</w:t>
      </w:r>
      <w:r>
        <w:rPr>
          <w:rFonts w:ascii="SimHei" w:hAnsi="SimHei" w:eastAsia="SimHei" w:cs="SimHei"/>
          <w:spacing w:val="-4"/>
        </w:rPr>
        <w:t>的类型，</w:t>
      </w:r>
      <w:r>
        <w:rPr>
          <w:spacing w:val="-4"/>
        </w:rPr>
        <w:t>QLED</w:t>
      </w:r>
      <w:r>
        <w:rPr>
          <w:spacing w:val="24"/>
        </w:rPr>
        <w:t xml:space="preserve"> </w:t>
      </w:r>
      <w:r>
        <w:rPr>
          <w:rFonts w:ascii="SimHei" w:hAnsi="SimHei" w:eastAsia="SimHei" w:cs="SimHei"/>
          <w:spacing w:val="-4"/>
        </w:rPr>
        <w:t>的结构可分为四种不同类型(如图2-3</w:t>
      </w:r>
      <w:r>
        <w:rPr>
          <w:spacing w:val="-4"/>
        </w:rPr>
        <w:t>c</w:t>
      </w:r>
      <w:r>
        <w:rPr>
          <w:rFonts w:ascii="SimHei" w:hAnsi="SimHei" w:eastAsia="SimHei" w:cs="SimHei"/>
          <w:spacing w:val="-4"/>
        </w:rPr>
        <w:t>.</w:t>
      </w:r>
      <w:r>
        <w:rPr>
          <w:spacing w:val="-4"/>
        </w:rPr>
        <w:t>):</w:t>
      </w:r>
    </w:p>
    <w:p>
      <w:pPr>
        <w:pStyle w:val="BodyText"/>
        <w:ind w:left="1040" w:right="1054"/>
        <w:spacing w:before="36" w:line="287" w:lineRule="auto"/>
        <w:rPr/>
      </w:pPr>
      <w:r>
        <w:rPr>
          <w:rFonts w:ascii="Arial" w:hAnsi="Arial" w:eastAsia="Arial" w:cs="Arial"/>
          <w:spacing w:val="-5"/>
        </w:rPr>
        <w:t>L</w:t>
      </w:r>
      <w:r>
        <w:rPr>
          <w:rFonts w:ascii="SimHei" w:hAnsi="SimHei" w:eastAsia="SimHei" w:cs="SimHei"/>
          <w:spacing w:val="-5"/>
        </w:rPr>
        <w:t>有机/</w:t>
      </w:r>
      <w:r>
        <w:rPr>
          <w:rFonts w:ascii="Arial" w:hAnsi="Arial" w:eastAsia="Arial" w:cs="Arial"/>
          <w:spacing w:val="-5"/>
        </w:rPr>
        <w:t>QD</w:t>
      </w:r>
      <w:r>
        <w:rPr>
          <w:rFonts w:ascii="SimHei" w:hAnsi="SimHei" w:eastAsia="SimHei" w:cs="SimHei"/>
          <w:spacing w:val="-5"/>
        </w:rPr>
        <w:t>双层</w:t>
      </w:r>
      <w:r>
        <w:rPr>
          <w:rFonts w:ascii="Arial" w:hAnsi="Arial" w:eastAsia="Arial" w:cs="Arial"/>
          <w:spacing w:val="-5"/>
        </w:rPr>
        <w:t>CTLs;1.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SimHei" w:hAnsi="SimHei" w:eastAsia="SimHei" w:cs="SimHei"/>
          <w:spacing w:val="-5"/>
        </w:rPr>
        <w:t>全有机</w:t>
      </w:r>
      <w:r>
        <w:rPr>
          <w:rFonts w:ascii="Arial" w:hAnsi="Arial" w:eastAsia="Arial" w:cs="Arial"/>
          <w:spacing w:val="-5"/>
        </w:rPr>
        <w:t>CTLs;</w:t>
      </w:r>
      <w:r>
        <w:rPr>
          <w:spacing w:val="-5"/>
        </w:rPr>
        <w:t>Ⅲ</w:t>
      </w:r>
      <w:r>
        <w:rPr>
          <w:spacing w:val="-41"/>
        </w:rPr>
        <w:t xml:space="preserve"> </w:t>
      </w:r>
      <w:r>
        <w:rPr>
          <w:rFonts w:ascii="Arial" w:hAnsi="Arial" w:eastAsia="Arial" w:cs="Arial"/>
          <w:spacing w:val="-5"/>
        </w:rPr>
        <w:t>.</w:t>
      </w:r>
      <w:r>
        <w:rPr>
          <w:rFonts w:ascii="SimHei" w:hAnsi="SimHei" w:eastAsia="SimHei" w:cs="SimHei"/>
          <w:spacing w:val="-5"/>
        </w:rPr>
        <w:t>全无机</w:t>
      </w:r>
      <w:r>
        <w:rPr>
          <w:rFonts w:ascii="Arial" w:hAnsi="Arial" w:eastAsia="Arial" w:cs="Arial"/>
          <w:spacing w:val="-5"/>
        </w:rPr>
        <w:t>CTLS;iv.</w:t>
      </w:r>
      <w:r>
        <w:rPr>
          <w:rFonts w:ascii="SimHei" w:hAnsi="SimHei" w:eastAsia="SimHei" w:cs="SimHei"/>
          <w:spacing w:val="-5"/>
        </w:rPr>
        <w:t>有机</w:t>
      </w:r>
      <w:r>
        <w:rPr>
          <w:rFonts w:ascii="SimHei" w:hAnsi="SimHei" w:eastAsia="SimHei" w:cs="SimHei"/>
          <w:spacing w:val="-14"/>
        </w:rPr>
        <w:t xml:space="preserve"> </w:t>
      </w:r>
      <w:r>
        <w:rPr>
          <w:rFonts w:ascii="SimHei" w:hAnsi="SimHei" w:eastAsia="SimHei" w:cs="SimHei"/>
          <w:spacing w:val="-5"/>
        </w:rPr>
        <w:t>·无机</w:t>
      </w:r>
      <w:r>
        <w:rPr>
          <w:rFonts w:ascii="Arial" w:hAnsi="Arial" w:eastAsia="Arial" w:cs="Arial"/>
          <w:spacing w:val="-5"/>
        </w:rPr>
        <w:t>CTLs</w:t>
      </w:r>
      <w:r>
        <w:rPr>
          <w:spacing w:val="-5"/>
        </w:rPr>
        <w:t>。</w:t>
      </w:r>
      <w:r>
        <w:rPr>
          <w:rFonts w:ascii="SimHei" w:hAnsi="SimHei" w:eastAsia="SimHei" w:cs="SimHei"/>
          <w:spacing w:val="-5"/>
        </w:rPr>
        <w:t>它们在峰值</w:t>
      </w:r>
      <w:r>
        <w:rPr>
          <w:rFonts w:ascii="Arial" w:hAnsi="Arial" w:eastAsia="Arial" w:cs="Arial"/>
          <w:spacing w:val="-5"/>
        </w:rPr>
        <w:t>EQE</w:t>
      </w:r>
      <w:r>
        <w:rPr>
          <w:rFonts w:ascii="SimHei" w:hAnsi="SimHei" w:eastAsia="SimHei" w:cs="SimHei"/>
          <w:spacing w:val="-5"/>
        </w:rPr>
        <w:t>和最大亮度方</w:t>
      </w:r>
      <w:r>
        <w:rPr>
          <w:rFonts w:ascii="SimHei" w:hAnsi="SimHei" w:eastAsia="SimHei" w:cs="SimHei"/>
        </w:rPr>
        <w:t xml:space="preserve"> </w:t>
      </w:r>
      <w:r>
        <w:rPr>
          <w:spacing w:val="-6"/>
        </w:rPr>
        <w:t>面的器件性能如图2-3.d/e</w:t>
      </w:r>
      <w:r>
        <w:rPr>
          <w:spacing w:val="-21"/>
        </w:rPr>
        <w:t xml:space="preserve"> </w:t>
      </w:r>
      <w:r>
        <w:rPr>
          <w:spacing w:val="-6"/>
        </w:rPr>
        <w:t>所示。!</w:t>
      </w:r>
    </w:p>
    <w:p>
      <w:pPr>
        <w:pStyle w:val="BodyText"/>
        <w:ind w:left="1040" w:right="1052" w:firstLine="189"/>
        <w:spacing w:before="81" w:line="247" w:lineRule="auto"/>
        <w:rPr/>
      </w:pPr>
      <w:r>
        <w:rPr>
          <w:spacing w:val="-3"/>
        </w:rPr>
        <w:t>由于结构简单性，i</w:t>
      </w:r>
      <w:r>
        <w:rPr>
          <w:spacing w:val="-17"/>
        </w:rPr>
        <w:t xml:space="preserve"> </w:t>
      </w:r>
      <w:r>
        <w:rPr>
          <w:spacing w:val="-3"/>
        </w:rPr>
        <w:t>通常应用于最早的QD-LED,</w:t>
      </w:r>
      <w:r>
        <w:rPr>
          <w:spacing w:val="13"/>
          <w:w w:val="101"/>
        </w:rPr>
        <w:t xml:space="preserve"> </w:t>
      </w:r>
      <w:r>
        <w:rPr>
          <w:spacing w:val="-3"/>
        </w:rPr>
        <w:t>然而，因为这种结构不存在ETLs且QDs</w:t>
      </w:r>
      <w:r>
        <w:rPr>
          <w:spacing w:val="-17"/>
        </w:rPr>
        <w:t xml:space="preserve"> </w:t>
      </w:r>
      <w:r>
        <w:rPr>
          <w:spacing w:val="-3"/>
        </w:rPr>
        <w:t>和CTLs的物</w:t>
      </w:r>
      <w:r>
        <w:rPr/>
        <w:t xml:space="preserve"> </w:t>
      </w:r>
      <w:r>
        <w:rPr>
          <w:spacing w:val="-4"/>
        </w:rPr>
        <w:t>理分隔较差，1结构的QD-LED 电子注入控制不佳，漏</w:t>
      </w:r>
      <w:r>
        <w:rPr>
          <w:spacing w:val="-5"/>
        </w:rPr>
        <w:t>电流显著。为了解决这些问题，提出了li型器件，</w:t>
      </w:r>
    </w:p>
    <w:p>
      <w:pPr>
        <w:pStyle w:val="BodyText"/>
        <w:ind w:left="1040"/>
        <w:spacing w:before="23" w:line="219" w:lineRule="auto"/>
        <w:rPr/>
      </w:pPr>
      <w:r>
        <w:rPr>
          <w:spacing w:val="-3"/>
        </w:rPr>
        <w:t>发光比之前的QD-LED 器件的最佳结果提高</w:t>
      </w:r>
      <w:r>
        <w:rPr>
          <w:spacing w:val="-4"/>
        </w:rPr>
        <w:t>了25倍。然而，有机薄层对水分和氧气敏感。因此，用无机</w:t>
      </w:r>
    </w:p>
    <w:p>
      <w:pPr>
        <w:pStyle w:val="BodyText"/>
        <w:ind w:left="1039" w:right="1106"/>
        <w:spacing w:before="60" w:line="209" w:lineRule="auto"/>
        <w:rPr/>
      </w:pPr>
      <w:r>
        <w:rPr>
          <w:spacing w:val="-3"/>
        </w:rPr>
        <w:t>材料代替有机材料似乎是提高QDLED</w:t>
      </w:r>
      <w:r>
        <w:rPr>
          <w:spacing w:val="43"/>
          <w:w w:val="101"/>
        </w:rPr>
        <w:t xml:space="preserve"> </w:t>
      </w:r>
      <w:r>
        <w:rPr>
          <w:spacing w:val="-3"/>
        </w:rPr>
        <w:t>器件可靠性的最佳解决方案。7在</w:t>
      </w:r>
      <w:r>
        <w:rPr>
          <w:spacing w:val="-4"/>
        </w:rPr>
        <w:t>最初的研究中，QD</w:t>
      </w:r>
      <w:r>
        <w:rPr>
          <w:spacing w:val="23"/>
        </w:rPr>
        <w:t xml:space="preserve"> </w:t>
      </w:r>
      <w:r>
        <w:rPr>
          <w:spacing w:val="-4"/>
        </w:rPr>
        <w:t>层夹在p型</w:t>
      </w:r>
      <w:r>
        <w:rPr/>
        <w:t xml:space="preserve"> </w:t>
      </w:r>
      <w:r>
        <w:rPr>
          <w:spacing w:val="-1"/>
        </w:rPr>
        <w:t>和</w:t>
      </w:r>
      <w:r>
        <w:rPr>
          <w:rFonts w:ascii="Arial" w:hAnsi="Arial" w:eastAsia="Arial" w:cs="Arial"/>
          <w:spacing w:val="-1"/>
        </w:rPr>
        <w:t>n</w:t>
      </w:r>
      <w:r>
        <w:rPr>
          <w:spacing w:val="-1"/>
        </w:rPr>
        <w:t>型</w:t>
      </w:r>
      <w:r>
        <w:rPr>
          <w:rFonts w:ascii="Arial" w:hAnsi="Arial" w:eastAsia="Arial" w:cs="Arial"/>
          <w:spacing w:val="-1"/>
        </w:rPr>
        <w:t>GaN</w:t>
      </w:r>
      <w:r>
        <w:rPr>
          <w:spacing w:val="-1"/>
        </w:rPr>
        <w:t>之 间</w:t>
      </w:r>
      <w:r>
        <w:rPr>
          <w:rFonts w:ascii="Arial" w:hAnsi="Arial" w:eastAsia="Arial" w:cs="Arial"/>
          <w:spacing w:val="-1"/>
        </w:rPr>
        <w:t>(EQE&lt;0.01%),  </w:t>
      </w:r>
      <w:r>
        <w:rPr>
          <w:spacing w:val="-1"/>
        </w:rPr>
        <w:t>在接下来的</w:t>
      </w:r>
      <w:r>
        <w:rPr>
          <w:spacing w:val="-2"/>
        </w:rPr>
        <w:t>工作中，展示了具有由金属氧化物(如</w:t>
      </w:r>
      <w:r>
        <w:rPr>
          <w:rFonts w:ascii="Arial" w:hAnsi="Arial" w:eastAsia="Arial" w:cs="Arial"/>
          <w:spacing w:val="-2"/>
        </w:rPr>
        <w:t>ZnO</w:t>
      </w:r>
      <w:r>
        <w:rPr>
          <w:spacing w:val="-2"/>
        </w:rPr>
        <w:t>、</w:t>
      </w:r>
      <w:r>
        <w:rPr>
          <w:rFonts w:ascii="Arial" w:hAnsi="Arial" w:eastAsia="Arial" w:cs="Arial"/>
          <w:spacing w:val="-2"/>
        </w:rPr>
        <w:t>SnO2</w:t>
      </w:r>
      <w:r>
        <w:rPr>
          <w:spacing w:val="-2"/>
        </w:rPr>
        <w:t>、</w:t>
      </w:r>
    </w:p>
    <w:p>
      <w:pPr>
        <w:pStyle w:val="BodyText"/>
        <w:ind w:left="1040" w:right="1023"/>
        <w:spacing w:before="55" w:line="250" w:lineRule="auto"/>
        <w:rPr/>
      </w:pPr>
      <w:r>
        <w:rPr>
          <w:spacing w:val="-1"/>
        </w:rPr>
        <w:t>ZnS、NIO</w:t>
      </w:r>
      <w:r>
        <w:rPr>
          <w:spacing w:val="-16"/>
        </w:rPr>
        <w:t xml:space="preserve"> </w:t>
      </w:r>
      <w:r>
        <w:rPr>
          <w:spacing w:val="-1"/>
        </w:rPr>
        <w:t>和WO3)</w:t>
      </w:r>
      <w:r>
        <w:rPr>
          <w:spacing w:val="20"/>
          <w:w w:val="101"/>
        </w:rPr>
        <w:t xml:space="preserve"> </w:t>
      </w:r>
      <w:r>
        <w:rPr>
          <w:spacing w:val="-1"/>
        </w:rPr>
        <w:t>组成的全无机CTLs的QD-LED。这些器件在长期使用和高电流密度条</w:t>
      </w:r>
      <w:r>
        <w:rPr>
          <w:spacing w:val="-2"/>
        </w:rPr>
        <w:t>件下表现出优异</w:t>
      </w:r>
      <w:r>
        <w:rPr/>
        <w:t xml:space="preserve"> </w:t>
      </w:r>
      <w:r>
        <w:rPr>
          <w:spacing w:val="-5"/>
        </w:rPr>
        <w:t>的稳定性，这对于未来的柔性显示器应用可能是有益的，然而，由于在无机层的苛刻沉积过程中量子点</w:t>
      </w:r>
      <w:r>
        <w:rPr>
          <w:spacing w:val="1"/>
        </w:rPr>
        <w:t xml:space="preserve">  </w:t>
      </w:r>
      <w:r>
        <w:rPr>
          <w:spacing w:val="-1"/>
        </w:rPr>
        <w:t>的降解，整体器件性能较差</w:t>
      </w:r>
    </w:p>
    <w:p>
      <w:pPr>
        <w:pStyle w:val="BodyText"/>
        <w:ind w:left="1039" w:right="1041" w:firstLine="189"/>
        <w:spacing w:before="115" w:line="262" w:lineRule="auto"/>
        <w:rPr/>
      </w:pPr>
      <w:r>
        <w:rPr>
          <w:rFonts w:ascii="Arial" w:hAnsi="Arial" w:eastAsia="Arial" w:cs="Arial"/>
          <w:spacing w:val="-4"/>
        </w:rPr>
        <w:t>iv </w:t>
      </w:r>
      <w:r>
        <w:rPr>
          <w:spacing w:val="-4"/>
        </w:rPr>
        <w:t>型结构是为了利用无机化合物的高可靠性优点和有机化合</w:t>
      </w:r>
      <w:r>
        <w:rPr>
          <w:spacing w:val="-5"/>
        </w:rPr>
        <w:t>物的高发光优点而设计的，目前已经成</w:t>
      </w:r>
      <w:r>
        <w:rPr/>
        <w:t xml:space="preserve">  </w:t>
      </w:r>
      <w:r>
        <w:rPr>
          <w:spacing w:val="-5"/>
        </w:rPr>
        <w:t>为</w:t>
      </w:r>
      <w:r>
        <w:rPr>
          <w:rFonts w:ascii="Arial" w:hAnsi="Arial" w:eastAsia="Arial" w:cs="Arial"/>
          <w:spacing w:val="-5"/>
        </w:rPr>
        <w:t>QD-LED</w:t>
      </w:r>
      <w:r>
        <w:rPr>
          <w:spacing w:val="-5"/>
        </w:rPr>
        <w:t>的设计基准，本设计报告也将基于这种</w:t>
      </w:r>
      <w:r>
        <w:rPr>
          <w:rFonts w:ascii="Arial" w:hAnsi="Arial" w:eastAsia="Arial" w:cs="Arial"/>
          <w:spacing w:val="-5"/>
        </w:rPr>
        <w:t>CTLs</w:t>
      </w:r>
      <w:r>
        <w:rPr>
          <w:spacing w:val="-5"/>
        </w:rPr>
        <w:t>结构进行设计。通过引入</w:t>
      </w:r>
      <w:r>
        <w:rPr>
          <w:rFonts w:ascii="Arial" w:hAnsi="Arial" w:eastAsia="Arial" w:cs="Arial"/>
          <w:spacing w:val="-6"/>
        </w:rPr>
        <w:t>ZnO</w:t>
      </w:r>
      <w:r>
        <w:rPr>
          <w:spacing w:val="-6"/>
        </w:rPr>
        <w:t>纳米颗粒作为</w:t>
      </w:r>
      <w:r>
        <w:rPr>
          <w:rFonts w:ascii="Arial" w:hAnsi="Arial" w:eastAsia="Arial" w:cs="Arial"/>
          <w:spacing w:val="-6"/>
        </w:rPr>
        <w:t>ETLs</w:t>
      </w:r>
      <w:r>
        <w:rPr>
          <w:rFonts w:ascii="Arial" w:hAnsi="Arial" w:eastAsia="Arial" w:cs="Arial"/>
        </w:rPr>
        <w:t xml:space="preserve">   </w:t>
      </w:r>
      <w:r>
        <w:rPr>
          <w:spacing w:val="-5"/>
        </w:rPr>
        <w:t>取得了重要突破。ZnO</w:t>
      </w:r>
      <w:r>
        <w:rPr>
          <w:spacing w:val="14"/>
        </w:rPr>
        <w:t xml:space="preserve"> </w:t>
      </w:r>
      <w:r>
        <w:rPr>
          <w:spacing w:val="-5"/>
        </w:rPr>
        <w:t>即使以纳米颗粒的形式也表现出优异的电子迁移率，并</w:t>
      </w:r>
      <w:r>
        <w:rPr>
          <w:spacing w:val="-6"/>
        </w:rPr>
        <w:t>且在将这些纳米颗粒引入</w:t>
      </w:r>
      <w:r>
        <w:rPr/>
        <w:t xml:space="preserve">  </w:t>
      </w:r>
      <w:r>
        <w:rPr>
          <w:spacing w:val="-5"/>
        </w:rPr>
        <w:t>器件的过程中不会对下面的QD 层产生显著的损伤，因为它们是溶液可处理的，这一结构的另一重要优点</w:t>
      </w:r>
      <w:r>
        <w:rPr>
          <w:spacing w:val="12"/>
          <w:w w:val="101"/>
        </w:rPr>
        <w:t xml:space="preserve"> </w:t>
      </w:r>
      <w:r>
        <w:rPr>
          <w:spacing w:val="-4"/>
        </w:rPr>
        <w:t>与本设计关联度很高——整体层的超薄形状因子使他们适用于柔性显示器。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91"/>
        <w:spacing w:before="29" w:line="222" w:lineRule="auto"/>
        <w:rPr>
          <w:rFonts w:ascii="FangSong" w:hAnsi="FangSong" w:eastAsia="FangSong" w:cs="FangSong"/>
          <w:sz w:val="10"/>
          <w:szCs w:val="10"/>
        </w:rPr>
      </w:pPr>
      <w:r>
        <w:rPr>
          <w:rFonts w:ascii="FangSong" w:hAnsi="FangSong" w:eastAsia="FangSong" w:cs="FangSong"/>
          <w:sz w:val="10"/>
          <w:szCs w:val="10"/>
          <w:b/>
          <w:bCs/>
          <w:spacing w:val="7"/>
        </w:rPr>
        <w:t>红光器件</w:t>
      </w:r>
    </w:p>
    <w:p>
      <w:pPr>
        <w:pStyle w:val="BodyText"/>
        <w:ind w:left="210"/>
        <w:spacing w:before="6" w:line="213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2"/>
        </w:rPr>
        <w:t>与制备难度更高的绿光和蓝光</w:t>
      </w:r>
      <w:r>
        <w:rPr>
          <w:rFonts w:ascii="SimHei" w:hAnsi="SimHei" w:eastAsia="SimHei" w:cs="SimHei"/>
          <w:spacing w:val="-22"/>
        </w:rPr>
        <w:t xml:space="preserve"> </w:t>
      </w:r>
      <w:r>
        <w:rPr/>
        <w:t>InP</w:t>
      </w:r>
      <w:r>
        <w:rPr>
          <w:spacing w:val="15"/>
        </w:rPr>
        <w:t xml:space="preserve">  </w:t>
      </w:r>
      <w:r>
        <w:rPr/>
        <w:t>QDs</w:t>
      </w:r>
      <w:r>
        <w:rPr>
          <w:rFonts w:ascii="SimHei" w:hAnsi="SimHei" w:eastAsia="SimHei" w:cs="SimHei"/>
          <w:spacing w:val="2"/>
        </w:rPr>
        <w:t>相比，红光器件的研究更</w:t>
      </w:r>
      <w:r>
        <w:rPr>
          <w:rFonts w:ascii="SimHei" w:hAnsi="SimHei" w:eastAsia="SimHei" w:cs="SimHei"/>
          <w:spacing w:val="1"/>
        </w:rPr>
        <w:t>为成熟，主要集中在</w:t>
      </w:r>
    </w:p>
    <w:p>
      <w:pPr>
        <w:pStyle w:val="BodyText"/>
        <w:spacing w:before="40" w:line="219" w:lineRule="auto"/>
        <w:rPr/>
      </w:pPr>
      <w:r>
        <w:rPr>
          <w:spacing w:val="4"/>
        </w:rPr>
        <w:t>对</w:t>
      </w:r>
      <w:r>
        <w:rPr/>
        <w:t>InP</w:t>
      </w:r>
      <w:r>
        <w:rPr>
          <w:spacing w:val="4"/>
        </w:rPr>
        <w:t xml:space="preserve"> 表面缺陷的钝化和壳层优化。</w:t>
      </w:r>
    </w:p>
    <w:p>
      <w:pPr>
        <w:pStyle w:val="BodyText"/>
        <w:ind w:right="2259" w:firstLine="210"/>
        <w:spacing w:before="19" w:line="276" w:lineRule="auto"/>
        <w:rPr/>
      </w:pPr>
      <w:r>
        <w:rPr>
          <w:spacing w:val="1"/>
        </w:rPr>
        <w:t>通过采用</w:t>
      </w:r>
      <w:r>
        <w:rPr>
          <w:rFonts w:ascii="Times New Roman" w:hAnsi="Times New Roman" w:eastAsia="Times New Roman" w:cs="Times New Roman"/>
        </w:rPr>
        <w:t>layer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by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layer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spacing w:val="1"/>
        </w:rPr>
        <w:t>的壳层包覆生长方式，得到了尺寸在15</w:t>
      </w:r>
      <w:r>
        <w:rPr>
          <w:rFonts w:ascii="Times New Roman" w:hAnsi="Times New Roman" w:eastAsia="Times New Roman" w:cs="Times New Roman"/>
        </w:rPr>
        <w:t>nm</w:t>
      </w:r>
      <w:r>
        <w:rPr>
          <w:rFonts w:ascii="Times New Roman" w:hAnsi="Times New Roman" w:eastAsia="Times New Roman" w:cs="Times New Roman"/>
          <w:spacing w:val="34"/>
          <w:w w:val="103"/>
        </w:rPr>
        <w:t xml:space="preserve"> </w:t>
      </w:r>
      <w:r>
        <w:rPr>
          <w:spacing w:val="1"/>
        </w:rPr>
        <w:t>的 </w:t>
      </w:r>
      <w:r>
        <w:rPr>
          <w:rFonts w:ascii="Times New Roman" w:hAnsi="Times New Roman" w:eastAsia="Times New Roman" w:cs="Times New Roman"/>
        </w:rPr>
        <w:t>InP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rFonts w:ascii="Times New Roman" w:hAnsi="Times New Roman" w:eastAsia="Times New Roman" w:cs="Times New Roman"/>
        </w:rPr>
        <w:t>ZnSeS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rFonts w:ascii="Times New Roman" w:hAnsi="Times New Roman" w:eastAsia="Times New Roman" w:cs="Times New Roman"/>
        </w:rPr>
        <w:t>ZnS    </w:t>
      </w:r>
      <w:r>
        <w:rPr>
          <w:spacing w:val="1"/>
        </w:rPr>
        <w:t>红光量子点，在实验中逐步提升成壳温度和时间，确保了在低反</w:t>
      </w:r>
      <w:r>
        <w:rPr/>
        <w:t>应物浓度下壳层的逐层均匀 </w:t>
      </w:r>
      <w:r>
        <w:rPr>
          <w:spacing w:val="-1"/>
        </w:rPr>
        <w:t>生长，更厚、更均匀的壳层钝化了表面缺陷，抑制了非辐射复合，将其应用在QLED</w:t>
      </w:r>
      <w:r>
        <w:rPr>
          <w:spacing w:val="49"/>
        </w:rPr>
        <w:t xml:space="preserve"> </w:t>
      </w:r>
      <w:r>
        <w:rPr>
          <w:spacing w:val="-1"/>
        </w:rPr>
        <w:t>器</w:t>
      </w:r>
      <w:r>
        <w:rPr>
          <w:spacing w:val="-19"/>
        </w:rPr>
        <w:t xml:space="preserve"> </w:t>
      </w:r>
      <w:r>
        <w:rPr>
          <w:spacing w:val="-1"/>
        </w:rPr>
        <w:t>件</w:t>
      </w:r>
      <w:r>
        <w:rPr>
          <w:spacing w:val="-10"/>
        </w:rPr>
        <w:t xml:space="preserve"> </w:t>
      </w:r>
      <w:r>
        <w:rPr>
          <w:spacing w:val="-1"/>
        </w:rPr>
        <w:t>中</w:t>
      </w:r>
      <w:r>
        <w:rPr/>
        <w:t xml:space="preserve"> </w:t>
      </w:r>
      <w:r>
        <w:rPr>
          <w:spacing w:val="6"/>
        </w:rPr>
        <w:t>可以得到</w:t>
      </w:r>
      <w:r>
        <w:rPr>
          <w:spacing w:val="-22"/>
        </w:rPr>
        <w:t xml:space="preserve"> </w:t>
      </w:r>
      <w:r>
        <w:rPr/>
        <w:t>EQE</w:t>
      </w:r>
      <w:r>
        <w:rPr>
          <w:spacing w:val="22"/>
          <w:w w:val="101"/>
        </w:rPr>
        <w:t xml:space="preserve"> </w:t>
      </w:r>
      <w:r>
        <w:rPr>
          <w:spacing w:val="6"/>
        </w:rPr>
        <w:t>为6</w:t>
      </w:r>
      <w:r>
        <w:rPr>
          <w:spacing w:val="-24"/>
        </w:rPr>
        <w:t xml:space="preserve"> </w:t>
      </w:r>
      <w:r>
        <w:rPr>
          <w:spacing w:val="6"/>
        </w:rPr>
        <w:t>.</w:t>
      </w:r>
      <w:r>
        <w:rPr>
          <w:spacing w:val="-25"/>
        </w:rPr>
        <w:t xml:space="preserve"> </w:t>
      </w:r>
      <w:r>
        <w:rPr>
          <w:spacing w:val="6"/>
        </w:rPr>
        <w:t>6%的性能</w:t>
      </w:r>
    </w:p>
    <w:p>
      <w:pPr>
        <w:pStyle w:val="BodyText"/>
        <w:ind w:firstLine="1449"/>
        <w:spacing w:before="50" w:line="1190" w:lineRule="exact"/>
        <w:rPr/>
      </w:pPr>
      <w:r>
        <w:rPr>
          <w:position w:val="-23"/>
        </w:rPr>
        <w:pict>
          <v:group id="_x0000_s2" style="mso-position-vertical-relative:line;mso-position-horizontal-relative:char;width:64.5pt;height:59.5pt;" filled="false" stroked="false" coordsize="1290,1190" coordorigin="0,0">
            <v:shape id="_x0000_s4" style="position:absolute;left:0;top:0;width:1230;height:1160;" filled="false" stroked="false" type="#_x0000_t75">
              <v:imagedata o:title="" r:id="rId3"/>
            </v:shape>
            <v:shape id="_x0000_s6" style="position:absolute;left:-20;top:-20;width:1330;height:1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60"/>
                      <w:spacing w:before="169" w:line="70" w:lineRule="exact"/>
                      <w:rPr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57139" cy="44439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7139" cy="4443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4"/>
                      <w:spacing w:before="36" w:line="183" w:lineRule="auto"/>
                      <w:jc w:val="right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spacing w:line="43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0"/>
                      <w:spacing w:before="20" w:line="192" w:lineRule="auto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  <w:spacing w:val="-1"/>
                      </w:rPr>
                      <w:t>Ll)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0"/>
        <w:spacing w:before="74" w:line="219" w:lineRule="auto"/>
        <w:rPr>
          <w:rFonts w:ascii="LiSu" w:hAnsi="LiSu" w:eastAsia="LiSu" w:cs="LiSu"/>
        </w:rPr>
      </w:pPr>
      <w:r>
        <w:rPr>
          <w:spacing w:val="-1"/>
        </w:rPr>
        <w:t>图 8 : 红光InP</w:t>
      </w:r>
      <w:r>
        <w:rPr>
          <w:spacing w:val="-12"/>
        </w:rPr>
        <w:t xml:space="preserve"> </w:t>
      </w:r>
      <w:r>
        <w:rPr>
          <w:spacing w:val="-1"/>
        </w:rPr>
        <w:t>基</w:t>
      </w:r>
      <w:r>
        <w:rPr>
          <w:spacing w:val="-26"/>
        </w:rPr>
        <w:t xml:space="preserve"> </w:t>
      </w:r>
      <w:r>
        <w:rPr>
          <w:spacing w:val="-1"/>
        </w:rPr>
        <w:t>QLED</w:t>
      </w:r>
      <w:r>
        <w:rPr>
          <w:spacing w:val="33"/>
        </w:rPr>
        <w:t xml:space="preserve"> </w:t>
      </w:r>
      <w:r>
        <w:rPr>
          <w:spacing w:val="-1"/>
        </w:rPr>
        <w:t>器件的外量子效率EQE</w:t>
      </w:r>
      <w:r>
        <w:rPr>
          <w:spacing w:val="23"/>
        </w:rPr>
        <w:t xml:space="preserve"> </w:t>
      </w:r>
      <w:r>
        <w:rPr>
          <w:spacing w:val="-1"/>
        </w:rPr>
        <w:t>与发光亮度Luminance</w:t>
      </w:r>
      <w:r>
        <w:rPr>
          <w:spacing w:val="-17"/>
        </w:rPr>
        <w:t xml:space="preserve"> </w:t>
      </w:r>
      <w:r>
        <w:rPr>
          <w:rFonts w:ascii="LiSu" w:hAnsi="LiSu" w:eastAsia="LiSu" w:cs="LiSu"/>
          <w:spacing w:val="-1"/>
        </w:rPr>
        <w:t>的变化曲线</w:t>
      </w:r>
    </w:p>
    <w:p>
      <w:pPr>
        <w:pStyle w:val="BodyText"/>
        <w:ind w:left="391"/>
        <w:spacing w:before="180" w:line="219" w:lineRule="auto"/>
        <w:rPr/>
      </w:pPr>
      <w:r>
        <w:rPr>
          <w:b/>
          <w:bCs/>
          <w:spacing w:val="14"/>
        </w:rPr>
        <w:t>绿光器件</w:t>
      </w:r>
    </w:p>
    <w:p>
      <w:pPr>
        <w:pStyle w:val="BodyText"/>
        <w:ind w:right="2295" w:firstLine="210"/>
        <w:spacing w:before="52" w:line="267" w:lineRule="auto"/>
        <w:rPr/>
      </w:pPr>
      <w:r>
        <w:rPr>
          <w:spacing w:val="4"/>
        </w:rPr>
        <w:t>制备性能优化的绿光</w:t>
      </w:r>
      <w:r>
        <w:rPr/>
        <w:t>InP</w:t>
      </w:r>
      <w:r>
        <w:rPr>
          <w:spacing w:val="4"/>
        </w:rPr>
        <w:t xml:space="preserve">   </w:t>
      </w:r>
      <w:r>
        <w:rPr/>
        <w:t>QDs</w:t>
      </w:r>
      <w:r>
        <w:rPr>
          <w:spacing w:val="4"/>
        </w:rPr>
        <w:t>,</w:t>
      </w:r>
      <w:r>
        <w:rPr/>
        <w:t>PLQY</w:t>
      </w:r>
      <w:r>
        <w:rPr>
          <w:spacing w:val="4"/>
        </w:rPr>
        <w:t>接近90%,研究发现，随着</w:t>
      </w:r>
      <w:r>
        <w:rPr/>
        <w:t>inP</w:t>
      </w:r>
      <w:r>
        <w:rPr>
          <w:spacing w:val="-7"/>
        </w:rPr>
        <w:t xml:space="preserve"> </w:t>
      </w:r>
      <w:r>
        <w:rPr>
          <w:spacing w:val="4"/>
        </w:rPr>
        <w:t>内核减小，其导</w:t>
      </w:r>
      <w:r>
        <w:rPr/>
        <w:t xml:space="preserve">  </w:t>
      </w:r>
      <w:r>
        <w:rPr/>
        <w:t>带</w:t>
      </w:r>
      <w:r>
        <w:rPr>
          <w:spacing w:val="-3"/>
        </w:rPr>
        <w:t xml:space="preserve"> </w:t>
      </w:r>
      <w:r>
        <w:rPr/>
        <w:t>底(conduction  band</w:t>
      </w:r>
      <w:r>
        <w:rPr>
          <w:spacing w:val="11"/>
        </w:rPr>
        <w:t xml:space="preserve">  </w:t>
      </w:r>
      <w:r>
        <w:rPr/>
        <w:t>minimum,CBM)上移，价带顶(valanceband</w:t>
      </w:r>
      <w:r>
        <w:rPr>
          <w:spacing w:val="4"/>
        </w:rPr>
        <w:t xml:space="preserve">    </w:t>
      </w:r>
      <w:r>
        <w:rPr/>
        <w:t>maximum,VBM)基  </w:t>
      </w:r>
      <w:r>
        <w:rPr>
          <w:spacing w:val="2"/>
        </w:rPr>
        <w:t>本不变。这就导致电子波函数向壳层的离域增大，辐射复合降低，同时电子波函数极易被</w:t>
      </w:r>
      <w:r>
        <w:rPr>
          <w:spacing w:val="15"/>
          <w:w w:val="101"/>
        </w:rPr>
        <w:t xml:space="preserve"> </w:t>
      </w:r>
      <w:r>
        <w:rPr>
          <w:spacing w:val="2"/>
        </w:rPr>
        <w:t>表面缺陷耦合，从而增强非辐射复合，因此光层组分的调谐对小尺寸</w:t>
      </w:r>
      <w:r>
        <w:rPr/>
        <w:t>InP</w:t>
      </w:r>
      <w:r>
        <w:rPr>
          <w:spacing w:val="49"/>
          <w:w w:val="101"/>
        </w:rPr>
        <w:t xml:space="preserve"> </w:t>
      </w:r>
      <w:r>
        <w:rPr/>
        <w:t>QDs</w:t>
      </w:r>
      <w:r>
        <w:rPr>
          <w:spacing w:val="2"/>
        </w:rPr>
        <w:t>的电子波函</w:t>
      </w:r>
      <w:r>
        <w:rPr/>
        <w:t xml:space="preserve"> </w:t>
      </w:r>
      <w:r>
        <w:rPr>
          <w:spacing w:val="1"/>
        </w:rPr>
        <w:t>数进行限域极其重要。通过精细控制壳层生长时间。可以得到得到更厚的</w:t>
      </w:r>
      <w:r>
        <w:rPr/>
        <w:t>GaP</w:t>
      </w:r>
      <w:r>
        <w:rPr>
          <w:spacing w:val="1"/>
        </w:rPr>
        <w:t>/</w:t>
      </w:r>
      <w:r>
        <w:rPr/>
        <w:t>ZnS</w:t>
      </w:r>
      <w:r>
        <w:rPr>
          <w:spacing w:val="1"/>
        </w:rPr>
        <w:t>//</w:t>
      </w:r>
      <w:r>
        <w:rPr/>
        <w:t>ZnS</w:t>
      </w:r>
    </w:p>
    <w:p>
      <w:pPr>
        <w:pStyle w:val="BodyText"/>
        <w:ind w:right="2454"/>
        <w:spacing w:before="28" w:line="274" w:lineRule="auto"/>
        <w:rPr/>
      </w:pPr>
      <w:r>
        <w:rPr>
          <w:spacing w:val="6"/>
        </w:rPr>
        <w:t>壳层，和之前制备的常见的3-5</w:t>
      </w:r>
      <w:r>
        <w:rPr>
          <w:rFonts w:ascii="Times New Roman" w:hAnsi="Times New Roman" w:eastAsia="Times New Roman" w:cs="Times New Roman"/>
        </w:rPr>
        <w:t>nm</w:t>
      </w:r>
      <w:r>
        <w:rPr>
          <w:rFonts w:ascii="Times New Roman" w:hAnsi="Times New Roman" w:eastAsia="Times New Roman" w:cs="Times New Roman"/>
          <w:spacing w:val="11"/>
          <w:w w:val="102"/>
        </w:rPr>
        <w:t xml:space="preserve">  </w:t>
      </w:r>
      <w:r>
        <w:rPr>
          <w:spacing w:val="6"/>
        </w:rPr>
        <w:t>的绿光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inP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rFonts w:ascii="Times New Roman" w:hAnsi="Times New Roman" w:eastAsia="Times New Roman" w:cs="Times New Roman"/>
        </w:rPr>
        <w:t>QDs</w:t>
      </w:r>
      <w:r>
        <w:rPr>
          <w:spacing w:val="5"/>
        </w:rPr>
        <w:t>相比</w:t>
      </w:r>
      <w:r>
        <w:rPr>
          <w:spacing w:val="-28"/>
        </w:rPr>
        <w:t xml:space="preserve"> </w:t>
      </w:r>
      <w:r>
        <w:rPr>
          <w:spacing w:val="5"/>
        </w:rPr>
        <w:t>.尺寸增大至7</w:t>
      </w:r>
      <w:r>
        <w:rPr>
          <w:rFonts w:ascii="Times New Roman" w:hAnsi="Times New Roman" w:eastAsia="Times New Roman" w:cs="Times New Roman"/>
        </w:rPr>
        <w:t>nm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5"/>
        </w:rPr>
        <w:t>左右，在</w:t>
      </w:r>
      <w:r>
        <w:rPr/>
        <w:t xml:space="preserve"> </w:t>
      </w:r>
      <w:r>
        <w:rPr/>
        <w:t>PLQY</w:t>
      </w:r>
      <w:r>
        <w:rPr>
          <w:spacing w:val="47"/>
          <w:w w:val="101"/>
        </w:rPr>
        <w:t xml:space="preserve"> </w:t>
      </w:r>
      <w:r>
        <w:rPr>
          <w:spacing w:val="2"/>
        </w:rPr>
        <w:t>接近70%的条件下制备出了</w:t>
      </w:r>
      <w:r>
        <w:rPr/>
        <w:t>EQE</w:t>
      </w:r>
      <w:r>
        <w:rPr>
          <w:spacing w:val="2"/>
        </w:rPr>
        <w:t>=6.3%</w:t>
      </w:r>
      <w:r>
        <w:rPr>
          <w:spacing w:val="-17"/>
        </w:rPr>
        <w:t xml:space="preserve"> </w:t>
      </w:r>
      <w:r>
        <w:rPr>
          <w:spacing w:val="2"/>
        </w:rPr>
        <w:t>的绿光</w:t>
      </w:r>
      <w:r>
        <w:rPr/>
        <w:t>QLED</w:t>
      </w:r>
      <w:r>
        <w:rPr>
          <w:spacing w:val="33"/>
        </w:rPr>
        <w:t xml:space="preserve"> </w:t>
      </w:r>
      <w:r>
        <w:rPr>
          <w:spacing w:val="2"/>
        </w:rPr>
        <w:t>器</w:t>
      </w:r>
      <w:r>
        <w:rPr>
          <w:spacing w:val="-23"/>
        </w:rPr>
        <w:t xml:space="preserve"> </w:t>
      </w:r>
      <w:r>
        <w:rPr>
          <w:spacing w:val="2"/>
        </w:rPr>
        <w:t>件</w:t>
      </w:r>
      <w:r>
        <w:rPr>
          <w:spacing w:val="-25"/>
        </w:rPr>
        <w:t xml:space="preserve"> </w:t>
      </w:r>
      <w:r>
        <w:rPr>
          <w:spacing w:val="2"/>
        </w:rPr>
        <w:t>。</w:t>
      </w:r>
    </w:p>
    <w:p>
      <w:pPr>
        <w:pStyle w:val="BodyText"/>
        <w:ind w:left="391"/>
        <w:spacing w:before="151" w:line="219" w:lineRule="auto"/>
        <w:rPr/>
      </w:pPr>
      <w:r>
        <w:rPr>
          <w:b/>
          <w:bCs/>
          <w:spacing w:val="6"/>
        </w:rPr>
        <w:t>蓝光器件</w:t>
      </w:r>
    </w:p>
    <w:p>
      <w:pPr>
        <w:pStyle w:val="BodyText"/>
        <w:ind w:right="2265" w:firstLine="210"/>
        <w:spacing w:before="43"/>
        <w:jc w:val="both"/>
        <w:rPr/>
      </w:pPr>
      <w:r>
        <w:rPr>
          <w:spacing w:val="1"/>
        </w:rPr>
        <w:t>蓝光器件在</w:t>
      </w:r>
      <w:r>
        <w:rPr/>
        <w:t>InPQLED</w:t>
      </w:r>
      <w:r>
        <w:rPr>
          <w:spacing w:val="22"/>
          <w:w w:val="101"/>
        </w:rPr>
        <w:t xml:space="preserve">  </w:t>
      </w:r>
      <w:r>
        <w:rPr>
          <w:spacing w:val="1"/>
        </w:rPr>
        <w:t>中最难实现，这很大程度上是因为如果</w:t>
      </w:r>
      <w:r>
        <w:rPr/>
        <w:t>InPQDs</w:t>
      </w:r>
      <w:r>
        <w:rPr>
          <w:spacing w:val="39"/>
          <w:w w:val="101"/>
        </w:rPr>
        <w:t xml:space="preserve"> </w:t>
      </w:r>
      <w:r>
        <w:rPr>
          <w:spacing w:val="1"/>
        </w:rPr>
        <w:t>发射蓝光，其尺</w:t>
      </w:r>
      <w:r>
        <w:rPr/>
        <w:t xml:space="preserve"> </w:t>
      </w:r>
      <w:r>
        <w:rPr>
          <w:spacing w:val="5"/>
        </w:rPr>
        <w:t>寸需要控制在1.5-20</w:t>
      </w:r>
      <w:r>
        <w:rPr/>
        <w:t>nm</w:t>
      </w:r>
      <w:r>
        <w:rPr>
          <w:spacing w:val="5"/>
        </w:rPr>
        <w:t>.</w:t>
      </w:r>
      <w:r>
        <w:rPr>
          <w:spacing w:val="33"/>
          <w:w w:val="101"/>
        </w:rPr>
        <w:t xml:space="preserve"> </w:t>
      </w:r>
      <w:r>
        <w:rPr>
          <w:spacing w:val="5"/>
        </w:rPr>
        <w:t>与绿光类位，如此小的尺寸意味着更大</w:t>
      </w:r>
      <w:r>
        <w:rPr>
          <w:spacing w:val="4"/>
        </w:rPr>
        <w:t>的比表面积，也就意味</w:t>
      </w:r>
      <w:r>
        <w:rPr/>
        <w:t xml:space="preserve"> </w:t>
      </w:r>
      <w:r>
        <w:rPr>
          <w:spacing w:val="3"/>
        </w:rPr>
        <w:t>着表面缺陷更容易形成、更大的不稳定性和更大</w:t>
      </w:r>
      <w:r>
        <w:rPr>
          <w:spacing w:val="2"/>
        </w:rPr>
        <w:t>的可控合成难度。</w:t>
      </w:r>
    </w:p>
    <w:sectPr>
      <w:type w:val="continuous"/>
      <w:pgSz w:w="12800" w:h="7200"/>
      <w:pgMar w:top="400" w:right="0" w:bottom="0" w:left="0" w:header="0" w:footer="0" w:gutter="0"/>
      <w:cols w:equalWidth="0" w:num="2">
        <w:col w:w="6410" w:space="100"/>
        <w:col w:w="62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0"/>
      <w:szCs w:val="1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2025-01-03T11:30:32Z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2025-01-03T11:30:32</vt:filetime>
  </property>
  <property fmtid="{D5CDD505-2E9C-101B-9397-08002B2CF9AE}" pid="4" name="UsrData">
    <vt:lpwstr>677759d40959d0001fe43707wl</vt:lpwstr>
  </property>
</Properties>
</file>