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72"/>
        <w:spacing w:before="49" w:line="222" w:lineRule="auto"/>
        <w:outlineLvl w:val="0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342920</wp:posOffset>
                </wp:positionH>
                <wp:positionV relativeFrom="paragraph">
                  <wp:posOffset>-78927</wp:posOffset>
                </wp:positionV>
                <wp:extent cx="3124200" cy="2312035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342920" y="-78927"/>
                          <a:ext cx="3124200" cy="2312035"/>
                        </a:xfrm>
                        <a:prstGeom prst="rect">
                          <a:avLst/>
                        </a:prstGeom>
                        <a:solidFill>
                          <a:srgbClr val="CCCCC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27.0016pt;margin-top:-6.21476pt;mso-position-vertical-relative:text;mso-position-horizontal-relative:text;width:246pt;height:182.05pt;z-index:-251657216;" fillcolor="#CCCCCB" filled="true" stroked="false"/>
            </w:pict>
          </mc:Fallback>
        </mc:AlternateConten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-929822</wp:posOffset>
            </wp:positionV>
            <wp:extent cx="8128000" cy="45720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spacing w:val="-5"/>
        </w:rPr>
        <w:t>3.3制造和集成工艺</w:t>
      </w:r>
    </w:p>
    <w:p>
      <w:pPr>
        <w:ind w:left="669" w:right="7835" w:firstLine="210"/>
        <w:spacing w:before="139" w:line="273" w:lineRule="auto"/>
        <w:rPr>
          <w:rFonts w:ascii="SimSun" w:hAnsi="SimSun" w:eastAsia="SimSun" w:cs="SimSun"/>
          <w:sz w:val="9"/>
          <w:szCs w:val="9"/>
        </w:rPr>
      </w:pPr>
      <w:r>
        <w:pict>
          <v:shape id="_x0000_s4" style="position:absolute;margin-left:328pt;margin-top:15.2987pt;mso-position-vertical-relative:text;mso-position-horizontal-relative:text;width:238.05pt;height:148.5pt;z-index:251660288;" fillcolor="#CCCCC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2"/>
                    <w:spacing w:before="113" w:line="222" w:lineRule="auto"/>
                    <w:outlineLvl w:val="6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2"/>
                    </w:rPr>
                    <w:t>4.3环境问题</w:t>
                  </w:r>
                </w:p>
                <w:p>
                  <w:pPr>
                    <w:pStyle w:val="BodyText"/>
                    <w:ind w:left="380"/>
                    <w:spacing w:before="115" w:line="213" w:lineRule="auto"/>
                    <w:rPr/>
                  </w:pPr>
                  <w:r>
                    <w:rPr>
                      <w:spacing w:val="4"/>
                    </w:rPr>
                    <w:t>科技是一把双刃剑，</w:t>
                  </w:r>
                  <w:r>
                    <w:rPr>
                      <w:rFonts w:ascii="SimSun" w:hAnsi="SimSun" w:eastAsia="SimSun" w:cs="SimSun"/>
                    </w:rPr>
                    <w:t>QD</w:t>
                  </w:r>
                  <w:r>
                    <w:rPr>
                      <w:rFonts w:ascii="SimSun" w:hAnsi="SimSun" w:eastAsia="SimSun" w:cs="SimSun"/>
                      <w:spacing w:val="4"/>
                    </w:rPr>
                    <w:t>-</w:t>
                  </w:r>
                  <w:r>
                    <w:rPr>
                      <w:rFonts w:ascii="SimSun" w:hAnsi="SimSun" w:eastAsia="SimSun" w:cs="SimSun"/>
                    </w:rPr>
                    <w:t>LED</w:t>
                  </w:r>
                  <w:r>
                    <w:rPr>
                      <w:rFonts w:ascii="SimSun" w:hAnsi="SimSun" w:eastAsia="SimSun" w:cs="SimSun"/>
                      <w:spacing w:val="4"/>
                    </w:rPr>
                    <w:t xml:space="preserve">  </w:t>
                  </w:r>
                  <w:r>
                    <w:rPr>
                      <w:spacing w:val="4"/>
                    </w:rPr>
                    <w:t>集成的智能服饰对环境的</w:t>
                  </w:r>
                  <w:r>
                    <w:rPr>
                      <w:spacing w:val="3"/>
                    </w:rPr>
                    <w:t>影响也有正反两方面，从反方面来说：</w:t>
                  </w:r>
                </w:p>
                <w:p>
                  <w:pPr>
                    <w:pStyle w:val="BodyText"/>
                    <w:ind w:left="380" w:right="316" w:hanging="70"/>
                    <w:spacing w:before="120" w:line="277" w:lineRule="auto"/>
                    <w:rPr/>
                  </w:pPr>
                  <w:r>
                    <w:rPr>
                      <w:rFonts w:ascii="SimSun" w:hAnsi="SimSun" w:eastAsia="SimSun" w:cs="SimSun"/>
                      <w:spacing w:val="6"/>
                    </w:rPr>
                    <w:t>1.</w:t>
                  </w:r>
                  <w:r>
                    <w:rPr>
                      <w:rFonts w:ascii="SimSun" w:hAnsi="SimSun" w:eastAsia="SimSun" w:cs="SimSun"/>
                    </w:rPr>
                    <w:t>QD</w:t>
                  </w:r>
                  <w:r>
                    <w:rPr>
                      <w:rFonts w:ascii="SimSun" w:hAnsi="SimSun" w:eastAsia="SimSun" w:cs="SimSun"/>
                      <w:spacing w:val="6"/>
                    </w:rPr>
                    <w:t>-</w:t>
                  </w:r>
                  <w:r>
                    <w:rPr>
                      <w:rFonts w:ascii="SimSun" w:hAnsi="SimSun" w:eastAsia="SimSun" w:cs="SimSun"/>
                    </w:rPr>
                    <w:t>LED</w:t>
                  </w:r>
                  <w:r>
                    <w:rPr>
                      <w:rFonts w:ascii="SimSun" w:hAnsi="SimSun" w:eastAsia="SimSun" w:cs="SimSun"/>
                      <w:spacing w:val="5"/>
                    </w:rPr>
                    <w:t xml:space="preserve">  </w:t>
                  </w:r>
                  <w:r>
                    <w:rPr>
                      <w:spacing w:val="6"/>
                    </w:rPr>
                    <w:t>的制造过程需要使用包括稀有金属(如银)、有机化合物、量子点等材料。这些材料的提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取和加工可能对环境造成影响，包括能源消耗</w:t>
                  </w:r>
                  <w:r>
                    <w:rPr>
                      <w:spacing w:val="4"/>
                    </w:rPr>
                    <w:t>和资源耗用，稀有金属的开采和处理过程可能导致土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壤、水源污染以及生态系统破坏</w:t>
                  </w:r>
                </w:p>
                <w:p>
                  <w:pPr>
                    <w:pStyle w:val="BodyText"/>
                    <w:ind w:left="379" w:right="270" w:hanging="60"/>
                    <w:spacing w:before="70" w:line="297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8"/>
                    </w:rPr>
                    <w:t>2.镉毒性：(欧盟)高危害有毒物质和可致嬉物质该物质，镉</w:t>
                  </w:r>
                  <w:r>
                    <w:rPr>
                      <w:spacing w:val="7"/>
                    </w:rPr>
                    <w:t>及其承装容器须作为危险性度料处置.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镉在常说的</w:t>
                  </w:r>
                  <w:r>
                    <w:rPr>
                      <w:rFonts w:ascii="SimSun" w:hAnsi="SimSun" w:eastAsia="SimSun" w:cs="SimSun"/>
                    </w:rPr>
                    <w:t>RoHS</w:t>
                  </w:r>
                  <w:r>
                    <w:rPr>
                      <w:rFonts w:ascii="SimSun" w:hAnsi="SimSun" w:eastAsia="SimSun" w:cs="SimSun"/>
                      <w:spacing w:val="2"/>
                    </w:rPr>
                    <w:t>-《</w:t>
                  </w:r>
                  <w:r>
                    <w:rPr>
                      <w:rFonts w:ascii="SimSun" w:hAnsi="SimSun" w:eastAsia="SimSun" w:cs="SimSun"/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关于限制在电子电气设备中使用菜些有害成分的指令》</w:t>
                  </w:r>
                  <w:r>
                    <w:rPr>
                      <w:rFonts w:ascii="SimSun" w:hAnsi="SimSun" w:eastAsia="SimSun" w:cs="SimSun"/>
                      <w:spacing w:val="2"/>
                    </w:rPr>
                    <w:t>(</w:t>
                  </w:r>
                  <w:r>
                    <w:rPr>
                      <w:rFonts w:ascii="SimSun" w:hAnsi="SimSun" w:eastAsia="SimSun" w:cs="SimSun"/>
                    </w:rPr>
                    <w:t>Restriction</w:t>
                  </w:r>
                  <w:r>
                    <w:rPr>
                      <w:rFonts w:ascii="SimSun" w:hAnsi="SimSun" w:eastAsia="SimSun" w:cs="SimSun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</w:rPr>
                    <w:t>of</w:t>
                  </w:r>
                </w:p>
                <w:p>
                  <w:pPr>
                    <w:pStyle w:val="BodyText"/>
                    <w:ind w:left="380" w:right="316"/>
                    <w:spacing w:before="3" w:line="295" w:lineRule="auto"/>
                    <w:rPr/>
                  </w:pPr>
                  <w:r>
                    <w:rPr>
                      <w:rFonts w:ascii="SimSun" w:hAnsi="SimSun" w:eastAsia="SimSun" w:cs="SimSun"/>
                    </w:rPr>
                    <w:t>Hazardous</w:t>
                  </w:r>
                  <w:r>
                    <w:rPr>
                      <w:rFonts w:ascii="SimSun" w:hAnsi="SimSun" w:eastAsia="SimSun" w:cs="SimSun"/>
                      <w:spacing w:val="5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</w:rPr>
                    <w:t>Substances</w:t>
                  </w:r>
                  <w:r>
                    <w:rPr>
                      <w:spacing w:val="5"/>
                    </w:rPr>
                    <w:t>规定的六种有害物质之列。近年来，日本地区曾有大量食用含镉水稻后慢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性中毒换”痛痛病的报道，锅的慢性毒性通常最先表现出功能异常的是调脏功能损伤，之后最明显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7"/>
                    </w:rPr>
                    <w:t>的症状是份骼方面，即痛痛病的表现，此外，镉还有致癌、致畸、生</w:t>
                  </w:r>
                  <w:r>
                    <w:rPr>
                      <w:spacing w:val="6"/>
                    </w:rPr>
                    <w:t>殖毒性、免疫系统毒性、心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血管毒性、肺部损害等危险性，因此以</w:t>
                  </w:r>
                  <w:r>
                    <w:rPr>
                      <w:rFonts w:ascii="SimSun" w:hAnsi="SimSun" w:eastAsia="SimSun" w:cs="SimSun"/>
                    </w:rPr>
                    <w:t>Cdse</w:t>
                  </w:r>
                  <w:r>
                    <w:rPr>
                      <w:rFonts w:ascii="SimSun" w:hAnsi="SimSun" w:eastAsia="SimSun" w:cs="SimSun"/>
                      <w:spacing w:val="4"/>
                    </w:rPr>
                    <w:t xml:space="preserve"> </w:t>
                  </w:r>
                  <w:r>
                    <w:rPr>
                      <w:spacing w:val="4"/>
                    </w:rPr>
                    <w:t>作为原料的量子点材料在加工时必须保证佩戴防护装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4"/>
                    </w:rPr>
                    <w:t>置，遵循加工流程，由于</w:t>
                  </w:r>
                  <w:r>
                    <w:rPr>
                      <w:rFonts w:ascii="SimSun" w:hAnsi="SimSun" w:eastAsia="SimSun" w:cs="SimSun"/>
                    </w:rPr>
                    <w:t>CdSe</w:t>
                  </w:r>
                  <w:r>
                    <w:rPr>
                      <w:rFonts w:ascii="SimSun" w:hAnsi="SimSun" w:eastAsia="SimSun" w:cs="SimSun"/>
                      <w:spacing w:val="4"/>
                    </w:rPr>
                    <w:t xml:space="preserve"> </w:t>
                  </w:r>
                  <w:r>
                    <w:rPr>
                      <w:spacing w:val="4"/>
                    </w:rPr>
                    <w:t>对空气中的氧气和温度敏感，需要保证</w:t>
                  </w:r>
                  <w:r>
                    <w:rPr>
                      <w:rFonts w:ascii="SimSun" w:hAnsi="SimSun" w:eastAsia="SimSun" w:cs="SimSun"/>
                    </w:rPr>
                    <w:t>CdSe</w:t>
                  </w:r>
                  <w:r>
                    <w:rPr>
                      <w:rFonts w:ascii="SimSun" w:hAnsi="SimSun" w:eastAsia="SimSun" w:cs="SimSun"/>
                      <w:spacing w:val="4"/>
                    </w:rPr>
                    <w:t xml:space="preserve"> </w:t>
                  </w:r>
                  <w:r>
                    <w:rPr>
                      <w:spacing w:val="4"/>
                    </w:rPr>
                    <w:t>不暴露在空气中，同时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6"/>
                    </w:rPr>
                    <w:t>做好防止粉尘扩散和废弃物妥善处理</w:t>
                  </w:r>
                </w:p>
                <w:p>
                  <w:pPr>
                    <w:pStyle w:val="BodyText"/>
                    <w:ind w:left="380" w:right="307"/>
                    <w:spacing w:before="58" w:line="278" w:lineRule="auto"/>
                    <w:jc w:val="both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5"/>
                    </w:rPr>
                    <w:t>当然更好的方式是采取不含辆的</w:t>
                  </w:r>
                  <w:r>
                    <w:rPr>
                      <w:rFonts w:ascii="SimSun" w:hAnsi="SimSun" w:eastAsia="SimSun" w:cs="SimSun"/>
                    </w:rPr>
                    <w:t>Qd</w:t>
                  </w:r>
                  <w:r>
                    <w:rPr>
                      <w:rFonts w:ascii="SimSun" w:hAnsi="SimSun" w:eastAsia="SimSun" w:cs="SimSun"/>
                      <w:spacing w:val="5"/>
                    </w:rPr>
                    <w:t xml:space="preserve"> </w:t>
                  </w:r>
                  <w:r>
                    <w:rPr>
                      <w:spacing w:val="5"/>
                    </w:rPr>
                    <w:t>层。下图列了2011-2019年出现的不含镉的</w:t>
                  </w:r>
                  <w:r>
                    <w:rPr>
                      <w:rFonts w:ascii="SimSun" w:hAnsi="SimSun" w:eastAsia="SimSun" w:cs="SimSun"/>
                    </w:rPr>
                    <w:t>QD</w:t>
                  </w:r>
                  <w:r>
                    <w:rPr>
                      <w:rFonts w:ascii="SimSun" w:hAnsi="SimSun" w:eastAsia="SimSun" w:cs="SimSun"/>
                      <w:spacing w:val="5"/>
                    </w:rPr>
                    <w:t xml:space="preserve"> </w:t>
                  </w:r>
                  <w:r>
                    <w:rPr>
                      <w:spacing w:val="5"/>
                    </w:rPr>
                    <w:t>层相关性能。常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5"/>
                    </w:rPr>
                    <w:t>见的取代</w:t>
                  </w:r>
                  <w:r>
                    <w:rPr>
                      <w:rFonts w:ascii="SimSun" w:hAnsi="SimSun" w:eastAsia="SimSun" w:cs="SimSun"/>
                    </w:rPr>
                    <w:t>CdSe</w:t>
                  </w:r>
                  <w:r>
                    <w:rPr>
                      <w:rFonts w:ascii="SimSun" w:hAnsi="SimSun" w:eastAsia="SimSun" w:cs="SimSun"/>
                      <w:spacing w:val="-12"/>
                    </w:rPr>
                    <w:t xml:space="preserve"> </w:t>
                  </w:r>
                  <w:r>
                    <w:rPr>
                      <w:spacing w:val="5"/>
                    </w:rPr>
                    <w:t>的结构有</w:t>
                  </w:r>
                  <w:r>
                    <w:rPr>
                      <w:rFonts w:ascii="SimSun" w:hAnsi="SimSun" w:eastAsia="SimSun" w:cs="SimSun"/>
                    </w:rPr>
                    <w:t>InP</w:t>
                  </w:r>
                  <w:r>
                    <w:rPr>
                      <w:rFonts w:ascii="SimSun" w:hAnsi="SimSun" w:eastAsia="SimSun" w:cs="SimSun"/>
                      <w:spacing w:val="5"/>
                    </w:rPr>
                    <w:t>/</w:t>
                  </w:r>
                  <w:r>
                    <w:rPr>
                      <w:rFonts w:ascii="SimSun" w:hAnsi="SimSun" w:eastAsia="SimSun" w:cs="SimSun"/>
                    </w:rPr>
                    <w:t>ZnSeS</w:t>
                  </w:r>
                  <w:r>
                    <w:rPr>
                      <w:rFonts w:ascii="SimSun" w:hAnsi="SimSun" w:eastAsia="SimSun" w:cs="SimSun"/>
                      <w:spacing w:val="5"/>
                    </w:rPr>
                    <w:t>/</w:t>
                  </w:r>
                  <w:r>
                    <w:rPr>
                      <w:rFonts w:ascii="SimSun" w:hAnsi="SimSun" w:eastAsia="SimSun" w:cs="SimSun"/>
                    </w:rPr>
                    <w:t>ZnS</w:t>
                  </w:r>
                  <w:r>
                    <w:rPr>
                      <w:rFonts w:ascii="SimSun" w:hAnsi="SimSun" w:eastAsia="SimSun" w:cs="SimSun"/>
                      <w:spacing w:val="5"/>
                    </w:rPr>
                    <w:t>,</w:t>
                  </w:r>
                  <w:r>
                    <w:rPr>
                      <w:rFonts w:ascii="SimSun" w:hAnsi="SimSun" w:eastAsia="SimSun" w:cs="SimSun"/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从长远角度考虑，</w:t>
                  </w:r>
                  <w:r>
                    <w:rPr>
                      <w:rFonts w:ascii="SimSun" w:hAnsi="SimSun" w:eastAsia="SimSun" w:cs="SimSun"/>
                    </w:rPr>
                    <w:t>ZnS</w:t>
                  </w:r>
                  <w:r>
                    <w:rPr>
                      <w:rFonts w:ascii="SimSun" w:hAnsi="SimSun" w:eastAsia="SimSun" w:cs="SimSun"/>
                      <w:spacing w:val="5"/>
                    </w:rPr>
                    <w:t xml:space="preserve"> </w:t>
                  </w:r>
                  <w:r>
                    <w:rPr>
                      <w:spacing w:val="5"/>
                    </w:rPr>
                    <w:t>材料具有较好的前景，</w:t>
                  </w:r>
                  <w:r>
                    <w:rPr>
                      <w:spacing w:val="4"/>
                    </w:rPr>
                    <w:t>可以被应用</w:t>
                  </w:r>
                  <w:r>
                    <w:rPr/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在</w:t>
                  </w:r>
                  <w:r>
                    <w:rPr>
                      <w:rFonts w:ascii="SimSun" w:hAnsi="SimSun" w:eastAsia="SimSun" w:cs="SimSun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设</w:t>
                  </w:r>
                  <w:r>
                    <w:rPr>
                      <w:rFonts w:ascii="SimSun" w:hAnsi="SimSun" w:eastAsia="SimSun" w:cs="SimSun"/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计</w:t>
                  </w:r>
                  <w:r>
                    <w:rPr>
                      <w:rFonts w:ascii="SimSun" w:hAnsi="SimSun" w:eastAsia="SimSun" w:cs="SimSun"/>
                      <w:spacing w:val="-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中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9"/>
          <w:szCs w:val="9"/>
          <w:spacing w:val="4"/>
        </w:rPr>
        <w:t>传统的</w:t>
      </w:r>
      <w:r>
        <w:rPr>
          <w:rFonts w:ascii="SimSun" w:hAnsi="SimSun" w:eastAsia="SimSun" w:cs="SimSun"/>
          <w:sz w:val="9"/>
          <w:szCs w:val="9"/>
        </w:rPr>
        <w:t>QD</w:t>
      </w:r>
      <w:r>
        <w:rPr>
          <w:rFonts w:ascii="SimSun" w:hAnsi="SimSun" w:eastAsia="SimSun" w:cs="SimSun"/>
          <w:sz w:val="9"/>
          <w:szCs w:val="9"/>
          <w:spacing w:val="4"/>
        </w:rPr>
        <w:t>-</w:t>
      </w:r>
      <w:r>
        <w:rPr>
          <w:rFonts w:ascii="SimSun" w:hAnsi="SimSun" w:eastAsia="SimSun" w:cs="SimSun"/>
          <w:sz w:val="9"/>
          <w:szCs w:val="9"/>
        </w:rPr>
        <w:t>LED</w:t>
      </w:r>
      <w:r>
        <w:rPr>
          <w:rFonts w:ascii="SimSun" w:hAnsi="SimSun" w:eastAsia="SimSun" w:cs="SimSun"/>
          <w:sz w:val="9"/>
          <w:szCs w:val="9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4"/>
        </w:rPr>
        <w:t>制造方法是旋涂。然而，和</w:t>
      </w:r>
      <w:r>
        <w:rPr>
          <w:rFonts w:ascii="SimSun" w:hAnsi="SimSun" w:eastAsia="SimSun" w:cs="SimSun"/>
          <w:sz w:val="9"/>
          <w:szCs w:val="9"/>
        </w:rPr>
        <w:t>OLED</w:t>
      </w:r>
      <w:r>
        <w:rPr>
          <w:rFonts w:ascii="SimSun" w:hAnsi="SimSun" w:eastAsia="SimSun" w:cs="SimSun"/>
          <w:sz w:val="9"/>
          <w:szCs w:val="9"/>
          <w:spacing w:val="18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4"/>
        </w:rPr>
        <w:t>显示一样，整个的显示屏是由一个个像素组成，旋</w:t>
      </w:r>
      <w:r>
        <w:rPr>
          <w:rFonts w:ascii="SimSun" w:hAnsi="SimSun" w:eastAsia="SimSun" w:cs="SimSun"/>
          <w:sz w:val="9"/>
          <w:szCs w:val="9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5"/>
        </w:rPr>
        <w:t>涂的方法显然不适合，而且旋涂往往会损失很多量子点，用于高分辨率、高对比度和适</w:t>
      </w:r>
      <w:r>
        <w:rPr>
          <w:rFonts w:ascii="SimSun" w:hAnsi="SimSun" w:eastAsia="SimSun" w:cs="SimSun"/>
          <w:sz w:val="9"/>
          <w:szCs w:val="9"/>
          <w:spacing w:val="4"/>
        </w:rPr>
        <w:t>用于各种衬底</w:t>
      </w:r>
    </w:p>
    <w:p>
      <w:pPr>
        <w:pStyle w:val="BodyText"/>
        <w:ind w:left="669" w:right="7860" w:firstLine="80"/>
        <w:spacing w:before="18" w:line="283" w:lineRule="auto"/>
        <w:jc w:val="both"/>
        <w:rPr/>
      </w:pPr>
      <w:r>
        <w:rPr>
          <w:spacing w:val="5"/>
        </w:rPr>
        <w:t>(柔性沉底和可拉伸村底)的先进的构造技术是必须的，目前，使用喷墨打印和转移打印的图形化打印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5"/>
        </w:rPr>
        <w:t>技术逐新成熟，促进了量子点显示的进步。这些制造工艺也可以运用在我</w:t>
      </w:r>
      <w:r>
        <w:rPr>
          <w:rFonts w:ascii="SimSun" w:hAnsi="SimSun" w:eastAsia="SimSun" w:cs="SimSun"/>
          <w:spacing w:val="4"/>
        </w:rPr>
        <w:t>们的服饰制造上，促进其产业</w:t>
      </w:r>
      <w:r>
        <w:rPr>
          <w:rFonts w:ascii="SimSun" w:hAnsi="SimSun" w:eastAsia="SimSun" w:cs="SimSun"/>
        </w:rPr>
        <w:t xml:space="preserve"> </w:t>
      </w:r>
      <w:r>
        <w:rPr>
          <w:spacing w:val="-4"/>
        </w:rPr>
        <w:t>化</w:t>
      </w:r>
      <w:r>
        <w:rPr>
          <w:spacing w:val="-8"/>
        </w:rPr>
        <w:t xml:space="preserve"> </w:t>
      </w:r>
      <w:r>
        <w:rPr>
          <w:spacing w:val="-4"/>
        </w:rPr>
        <w:t>的</w:t>
      </w:r>
      <w:r>
        <w:rPr>
          <w:spacing w:val="-13"/>
        </w:rPr>
        <w:t xml:space="preserve"> </w:t>
      </w:r>
      <w:r>
        <w:rPr>
          <w:spacing w:val="-4"/>
        </w:rPr>
        <w:t>过</w:t>
      </w:r>
      <w:r>
        <w:rPr>
          <w:spacing w:val="-13"/>
        </w:rPr>
        <w:t xml:space="preserve"> </w:t>
      </w:r>
      <w:r>
        <w:rPr>
          <w:spacing w:val="-4"/>
        </w:rPr>
        <w:t>程</w:t>
      </w:r>
    </w:p>
    <w:p>
      <w:pPr>
        <w:pStyle w:val="BodyText"/>
        <w:ind w:left="669" w:right="7812" w:firstLine="210"/>
        <w:spacing w:before="74" w:line="302" w:lineRule="auto"/>
        <w:rPr/>
      </w:pPr>
      <w:r>
        <w:rPr>
          <w:spacing w:val="5"/>
        </w:rPr>
        <w:t>喷图打印</w:t>
      </w:r>
      <w:r>
        <w:rPr>
          <w:rFonts w:ascii="Arial" w:hAnsi="Arial" w:eastAsia="Arial" w:cs="Arial"/>
          <w:spacing w:val="5"/>
        </w:rPr>
        <w:t>(</w:t>
      </w:r>
      <w:r>
        <w:rPr>
          <w:rFonts w:ascii="Arial" w:hAnsi="Arial" w:eastAsia="Arial" w:cs="Arial"/>
        </w:rPr>
        <w:t>Inkjet</w:t>
      </w:r>
      <w:r>
        <w:rPr>
          <w:rFonts w:ascii="Arial" w:hAnsi="Arial" w:eastAsia="Arial" w:cs="Arial"/>
          <w:spacing w:val="5"/>
        </w:rPr>
        <w:t xml:space="preserve">       </w:t>
      </w:r>
      <w:r>
        <w:rPr>
          <w:rFonts w:ascii="Arial" w:hAnsi="Arial" w:eastAsia="Arial" w:cs="Arial"/>
        </w:rPr>
        <w:t>printing</w:t>
      </w:r>
      <w:r>
        <w:rPr>
          <w:rFonts w:ascii="Arial" w:hAnsi="Arial" w:eastAsia="Arial" w:cs="Arial"/>
          <w:spacing w:val="5"/>
        </w:rPr>
        <w:t>)</w:t>
      </w:r>
      <w:r>
        <w:rPr>
          <w:spacing w:val="5"/>
        </w:rPr>
        <w:t>是一种简单的方法，可以通过喷墨打印机在预定义</w:t>
      </w:r>
      <w:r>
        <w:rPr>
          <w:spacing w:val="4"/>
        </w:rPr>
        <w:t>的图案上沉积微量的</w:t>
      </w:r>
      <w:r>
        <w:rPr/>
        <w:t xml:space="preserve"> </w:t>
      </w:r>
      <w:r>
        <w:rPr>
          <w:spacing w:val="8"/>
        </w:rPr>
        <w:t>材料，并按需滴落，这种方法可以显著降低材料成本。在全色显示器件的典型喷墨打印中，电极和像</w:t>
      </w:r>
      <w:r>
        <w:rPr>
          <w:spacing w:val="1"/>
        </w:rPr>
        <w:t xml:space="preserve"> </w:t>
      </w:r>
      <w:r>
        <w:rPr>
          <w:spacing w:val="5"/>
        </w:rPr>
        <w:t>素点由打印银纳米颗粒和发光材料构成，通过将衬底放置在打印头正下方的液滴产</w:t>
      </w:r>
      <w:r>
        <w:rPr>
          <w:spacing w:val="4"/>
        </w:rPr>
        <w:t>生处，并施加不同的</w:t>
      </w:r>
      <w:r>
        <w:rPr/>
        <w:t xml:space="preserve">  </w:t>
      </w:r>
      <w:r>
        <w:rPr>
          <w:spacing w:val="5"/>
        </w:rPr>
        <w:t>电压，墨水可以精确地打印到村底上。当围水过于粘稠时，需要施加大的压力脉</w:t>
      </w:r>
      <w:r>
        <w:rPr>
          <w:spacing w:val="4"/>
        </w:rPr>
        <w:t>冲来形成液滴。另一方</w:t>
      </w:r>
      <w:r>
        <w:rPr/>
        <w:t xml:space="preserve">  </w:t>
      </w:r>
      <w:r>
        <w:rPr>
          <w:spacing w:val="6"/>
        </w:rPr>
        <w:t>面，如果围水的表面张力过低，除了所需的液滴之外，还会产生咖啡环效应</w:t>
      </w:r>
      <w:r>
        <w:rPr>
          <w:spacing w:val="5"/>
        </w:rPr>
        <w:t>，严重影响显示的分辨率</w:t>
      </w:r>
    </w:p>
    <w:p>
      <w:pPr>
        <w:pStyle w:val="BodyText"/>
        <w:ind w:left="669" w:right="7863"/>
        <w:spacing w:before="25" w:line="285" w:lineRule="auto"/>
        <w:rPr/>
      </w:pPr>
      <w:r>
        <w:rPr>
          <w:spacing w:val="5"/>
        </w:rPr>
        <w:t>由于量子点可以溶解于溶液中，可以通过喷墨打印直接获得具有</w:t>
      </w:r>
      <w:r>
        <w:rPr>
          <w:rFonts w:ascii="SimSun" w:hAnsi="SimSun" w:eastAsia="SimSun" w:cs="SimSun"/>
        </w:rPr>
        <w:t>RGB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像素化的图像。在此过</w:t>
      </w:r>
      <w:r>
        <w:rPr>
          <w:spacing w:val="4"/>
        </w:rPr>
        <w:t>程中，有两</w:t>
      </w:r>
      <w:r>
        <w:rPr/>
        <w:t xml:space="preserve"> </w:t>
      </w:r>
      <w:r>
        <w:rPr>
          <w:spacing w:val="5"/>
        </w:rPr>
        <w:t>个关键问题需要考虑，以获得具有可控厚度的均匀量子点薄股，首先，</w:t>
      </w:r>
      <w:r>
        <w:rPr>
          <w:spacing w:val="4"/>
        </w:rPr>
        <w:t>需要避免量子点在器件处理过程</w:t>
      </w:r>
      <w:r>
        <w:rPr/>
        <w:t xml:space="preserve"> </w:t>
      </w:r>
      <w:r>
        <w:rPr>
          <w:spacing w:val="7"/>
        </w:rPr>
        <w:t>中重新溶解。因此，喷墨印刷工艺需要使用具有可控溶液性质(如浓度、表面</w:t>
      </w:r>
      <w:r>
        <w:rPr>
          <w:spacing w:val="6"/>
        </w:rPr>
        <w:t>张力和粘度)的墨水，这</w:t>
      </w:r>
      <w:r>
        <w:rPr/>
        <w:t xml:space="preserve"> </w:t>
      </w:r>
      <w:r>
        <w:rPr>
          <w:spacing w:val="6"/>
        </w:rPr>
        <w:t>给量子点油墨的制备带来了额外的困难，其次，需要尽量减少咖啡环效应，以提高分辨率</w:t>
      </w:r>
    </w:p>
    <w:p>
      <w:pPr>
        <w:pStyle w:val="BodyText"/>
        <w:ind w:left="669" w:right="7860" w:firstLine="210"/>
        <w:spacing w:before="83" w:line="299" w:lineRule="auto"/>
        <w:jc w:val="both"/>
        <w:rPr/>
      </w:pPr>
      <w:r>
        <w:rPr>
          <w:spacing w:val="4"/>
        </w:rPr>
        <w:t>转</w:t>
      </w:r>
      <w:r>
        <w:rPr>
          <w:spacing w:val="-21"/>
        </w:rPr>
        <w:t xml:space="preserve"> </w:t>
      </w:r>
      <w:r>
        <w:rPr>
          <w:spacing w:val="4"/>
        </w:rPr>
        <w:t>移</w:t>
      </w:r>
      <w:r>
        <w:rPr>
          <w:spacing w:val="-20"/>
        </w:rPr>
        <w:t xml:space="preserve"> </w:t>
      </w:r>
      <w:r>
        <w:rPr>
          <w:spacing w:val="4"/>
        </w:rPr>
        <w:t>打</w:t>
      </w:r>
      <w:r>
        <w:rPr>
          <w:spacing w:val="-17"/>
        </w:rPr>
        <w:t xml:space="preserve"> </w:t>
      </w:r>
      <w:r>
        <w:rPr>
          <w:spacing w:val="4"/>
        </w:rPr>
        <w:t>印</w:t>
      </w:r>
      <w:r>
        <w:rPr>
          <w:rFonts w:ascii="Arial" w:hAnsi="Arial" w:eastAsia="Arial" w:cs="Arial"/>
          <w:spacing w:val="4"/>
        </w:rPr>
        <w:t>(</w:t>
      </w:r>
      <w:r>
        <w:rPr>
          <w:rFonts w:ascii="Arial" w:hAnsi="Arial" w:eastAsia="Arial" w:cs="Arial"/>
        </w:rPr>
        <w:t>Transfer</w:t>
      </w:r>
      <w:r>
        <w:rPr>
          <w:rFonts w:ascii="Arial" w:hAnsi="Arial" w:eastAsia="Arial" w:cs="Arial"/>
          <w:spacing w:val="4"/>
        </w:rPr>
        <w:t xml:space="preserve">       </w:t>
      </w:r>
      <w:r>
        <w:rPr>
          <w:rFonts w:ascii="Arial" w:hAnsi="Arial" w:eastAsia="Arial" w:cs="Arial"/>
        </w:rPr>
        <w:t>printing</w:t>
      </w:r>
      <w:r>
        <w:rPr>
          <w:rFonts w:ascii="Arial" w:hAnsi="Arial" w:eastAsia="Arial" w:cs="Arial"/>
          <w:spacing w:val="4"/>
        </w:rPr>
        <w:t>)</w:t>
      </w:r>
      <w:r>
        <w:rPr>
          <w:spacing w:val="4"/>
        </w:rPr>
        <w:t>通过使用无溶剂</w:t>
      </w:r>
      <w:r>
        <w:rPr>
          <w:spacing w:val="3"/>
        </w:rPr>
        <w:t>工艺避免了其他方法遇到的问题，从而产生了均匀</w:t>
      </w:r>
      <w:r>
        <w:rPr/>
        <w:t xml:space="preserve"> </w:t>
      </w:r>
      <w:r>
        <w:rPr>
          <w:spacing w:val="6"/>
        </w:rPr>
        <w:t>的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</w:rPr>
        <w:t>QD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spacing w:val="6"/>
        </w:rPr>
        <w:t>薄股和紧凑的网络结构</w:t>
      </w:r>
      <w:r>
        <w:rPr>
          <w:rFonts w:ascii="SimSun" w:hAnsi="SimSun" w:eastAsia="SimSun" w:cs="SimSun"/>
          <w:spacing w:val="6"/>
        </w:rPr>
        <w:t>¹²</w:t>
      </w:r>
      <w:r>
        <w:rPr>
          <w:spacing w:val="6"/>
        </w:rPr>
        <w:t>,这种方法的关键在于使用软质和弹性体印模来</w:t>
      </w:r>
      <w:r>
        <w:rPr>
          <w:spacing w:val="5"/>
        </w:rPr>
        <w:t>复制由光刻或其他图案</w:t>
      </w:r>
      <w:r>
        <w:rPr/>
        <w:t xml:space="preserve"> </w:t>
      </w:r>
      <w:r>
        <w:rPr>
          <w:spacing w:val="5"/>
        </w:rPr>
        <w:t>化技术产生的图案。单独制备用量子点旋涂的供体底物，并将安装在供体基质上的</w:t>
      </w:r>
      <w:r>
        <w:rPr>
          <w:spacing w:val="4"/>
        </w:rPr>
        <w:t>均匀量子点脱转移到</w:t>
      </w:r>
      <w:r>
        <w:rPr/>
        <w:t xml:space="preserve"> </w:t>
      </w:r>
      <w:r>
        <w:rPr>
          <w:spacing w:val="6"/>
        </w:rPr>
        <w:t>受体基质上，转移打印在选择设备组件和设备制造方面提供了更多</w:t>
      </w:r>
      <w:r>
        <w:rPr>
          <w:spacing w:val="5"/>
        </w:rPr>
        <w:t>的灵活性</w:t>
      </w:r>
    </w:p>
    <w:sectPr>
      <w:headerReference w:type="default" r:id="rId1"/>
      <w:pgSz w:w="12800" w:h="7200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9"/>
      <w:szCs w:val="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2025-01-03T11:32:52Z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2025-01-03T11:32:53</vt:filetime>
  </property>
  <property fmtid="{D5CDD505-2E9C-101B-9397-08002B2CF9AE}" pid="4" name="UsrData">
    <vt:lpwstr>67775a5cbf102c001f793e33wl</vt:lpwstr>
  </property>
</Properties>
</file>