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 w:eastAsia="Microsoft YaHei"/>
          <w:b/>
          <w:color w:val="2E75B6"/>
          <w:sz w:val="20"/>
        </w:rPr>
        <w:t>项目阶段介绍</w:t>
      </w:r>
    </w:p>
    <w:p>
      <w:pPr>
        <w:spacing w:after="80"/>
      </w:pPr>
      <w:r>
        <w:rPr>
          <w:rFonts w:ascii="Calibri" w:hAnsi="Calibri" w:eastAsia="Microsoft YaHei"/>
          <w:b/>
          <w:color w:val="17365D"/>
          <w:sz w:val="48"/>
        </w:rPr>
        <w:t>文档审查与辅助生成平台</w:t>
      </w:r>
    </w:p>
    <w:p>
      <w:pPr>
        <w:spacing w:after="200"/>
      </w:pPr>
      <w:r>
        <w:rPr>
          <w:rFonts w:ascii="Calibri" w:hAnsi="Calibri" w:eastAsia="Microsoft YaHei"/>
          <w:b w:val="0"/>
          <w:color w:val="667085"/>
          <w:sz w:val="24"/>
        </w:rPr>
        <w:t>面向航空技术文档的规则化审查、模板化生成与过程留痕平台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5F8FC"/>
            <w:tcMar>
              <w:top w:w="145" w:type="dxa"/>
              <w:start w:w="145" w:type="dxa"/>
              <w:bottom w:w="145" w:type="dxa"/>
              <w:end w:w="145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文档审查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7A4D"/>
                <w:sz w:val="19"/>
              </w:rPr>
              <w:t>核心流程已形成</w:t>
            </w:r>
          </w:p>
        </w:tc>
        <w:tc>
          <w:tcPr>
            <w:tcW w:type="dxa" w:w="3120"/>
            <w:shd w:fill="F5F8FC"/>
            <w:tcMar>
              <w:top w:w="145" w:type="dxa"/>
              <w:start w:w="145" w:type="dxa"/>
              <w:bottom w:w="145" w:type="dxa"/>
              <w:end w:w="145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文档生成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E75B6"/>
                <w:sz w:val="19"/>
              </w:rPr>
              <w:t>模板驱动能力已形成</w:t>
            </w:r>
          </w:p>
        </w:tc>
        <w:tc>
          <w:tcPr>
            <w:tcW w:type="dxa" w:w="3120"/>
            <w:shd w:fill="F5F8FC"/>
            <w:tcMar>
              <w:top w:w="145" w:type="dxa"/>
              <w:start w:w="145" w:type="dxa"/>
              <w:bottom w:w="145" w:type="dxa"/>
              <w:end w:w="145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知识库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9A6700"/>
                <w:sz w:val="19"/>
              </w:rPr>
              <w:t>能力预留，待资料接入</w:t>
            </w:r>
          </w:p>
        </w:tc>
      </w:tr>
    </w:tbl>
    <w:p>
      <w:pPr>
        <w:spacing w:after="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327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首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32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jc w:val="center"/>
      </w:pPr>
      <w:r>
        <w:rPr>
          <w:rFonts w:ascii="Calibri" w:hAnsi="Calibri" w:eastAsia="Microsoft YaHei"/>
          <w:b w:val="0"/>
          <w:color w:val="667085"/>
          <w:sz w:val="17"/>
        </w:rPr>
        <w:t>平台首页：审查、生成、规则管理、模板管理及任务记录统一入口</w:t>
      </w:r>
    </w:p>
    <w:p>
      <w:pPr>
        <w:spacing w:before="40" w:after="0"/>
      </w:pPr>
      <w:r>
        <w:rPr>
          <w:rFonts w:ascii="Calibri" w:hAnsi="Calibri" w:eastAsia="Microsoft YaHei"/>
          <w:b/>
          <w:color w:val="17365D"/>
          <w:sz w:val="20"/>
        </w:rPr>
        <w:t>当前阶段：</w:t>
      </w:r>
      <w:r>
        <w:rPr>
          <w:rFonts w:ascii="Calibri" w:hAnsi="Calibri" w:eastAsia="Microsoft YaHei"/>
          <w:b w:val="0"/>
          <w:color w:val="1F2937"/>
          <w:sz w:val="20"/>
        </w:rPr>
        <w:t>平台功能框架已具备，下一步需要结合应用方真实规则、正式模板和样例开展试点验证。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5B6"/>
          <w:sz w:val="32"/>
        </w:rPr>
        <w:t>一、审查规则管理</w:t>
      </w:r>
    </w:p>
    <w:p>
      <w:pPr>
        <w:spacing w:after="120"/>
      </w:pPr>
      <w:r>
        <w:rPr>
          <w:rFonts w:ascii="Calibri" w:hAnsi="Calibri" w:eastAsia="Microsoft YaHei"/>
          <w:b/>
          <w:color w:val="17365D"/>
          <w:sz w:val="21"/>
        </w:rPr>
        <w:t>支持按业务场景建立规则集，并维护每条规则的检查内容、范围和问题等级。</w:t>
      </w:r>
    </w:p>
    <w:p>
      <w:pPr>
        <w:pStyle w:val="ListBullet"/>
        <w:spacing w:after="60" w:line="259" w:lineRule="auto"/>
      </w:pPr>
      <w:r>
        <w:rPr>
          <w:rFonts w:ascii="Calibri" w:hAnsi="Calibri" w:eastAsia="Microsoft YaHei"/>
          <w:b w:val="0"/>
          <w:color w:val="1F2937"/>
          <w:sz w:val="20"/>
        </w:rPr>
        <w:t>支持规则集新建、规则新增、编辑、启用、停用和删除。</w:t>
      </w:r>
    </w:p>
    <w:p>
      <w:pPr>
        <w:pStyle w:val="ListBullet"/>
        <w:spacing w:after="60" w:line="259" w:lineRule="auto"/>
      </w:pPr>
      <w:r>
        <w:rPr>
          <w:rFonts w:ascii="Calibri" w:hAnsi="Calibri" w:eastAsia="Microsoft YaHei"/>
          <w:b w:val="0"/>
          <w:color w:val="1F2937"/>
          <w:sz w:val="20"/>
        </w:rPr>
        <w:t>支持 Excel 批量导入、导入预检查、问题清单下载和导入记录管理。</w:t>
      </w:r>
    </w:p>
    <w:p>
      <w:pPr>
        <w:pStyle w:val="ListBullet"/>
        <w:spacing w:after="60" w:line="259" w:lineRule="auto"/>
      </w:pPr>
      <w:r>
        <w:rPr>
          <w:rFonts w:ascii="Calibri" w:hAnsi="Calibri" w:eastAsia="Microsoft YaHei"/>
          <w:b w:val="0"/>
          <w:color w:val="1F2937"/>
          <w:sz w:val="20"/>
        </w:rPr>
        <w:t>规则可配置为规则引擎检查、LLM 语义检查或组合检查。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83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审查规则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83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jc w:val="center"/>
      </w:pPr>
      <w:r>
        <w:rPr>
          <w:rFonts w:ascii="Calibri" w:hAnsi="Calibri" w:eastAsia="Microsoft YaHei"/>
          <w:b w:val="0"/>
          <w:color w:val="667085"/>
          <w:sz w:val="17"/>
        </w:rPr>
        <w:t>规则管理页面：规则集及规则明细统一维护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5B6"/>
          <w:sz w:val="32"/>
        </w:rPr>
        <w:t>二、文档审查流程（1/2）</w:t>
      </w:r>
    </w:p>
    <w:p>
      <w:pPr>
        <w:spacing w:after="120"/>
      </w:pPr>
      <w:r>
        <w:rPr>
          <w:rFonts w:ascii="Calibri" w:hAnsi="Calibri" w:eastAsia="Microsoft YaHei"/>
          <w:b/>
          <w:color w:val="17365D"/>
          <w:sz w:val="21"/>
        </w:rPr>
        <w:t>用户上传 DOCX 文档后，可选择适用规则集，确认规则明细并启动审查。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268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档审查-规则选择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6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jc w:val="center"/>
      </w:pPr>
      <w:r>
        <w:rPr>
          <w:rFonts w:ascii="Calibri" w:hAnsi="Calibri" w:eastAsia="Microsoft YaHei"/>
          <w:b w:val="0"/>
          <w:color w:val="667085"/>
          <w:sz w:val="17"/>
        </w:rPr>
        <w:t>步骤1：选择本次审查使用的规则集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268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档审查-审查确定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6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jc w:val="center"/>
      </w:pPr>
      <w:r>
        <w:rPr>
          <w:rFonts w:ascii="Calibri" w:hAnsi="Calibri" w:eastAsia="Microsoft YaHei"/>
          <w:b w:val="0"/>
          <w:color w:val="667085"/>
          <w:sz w:val="17"/>
        </w:rPr>
        <w:t>步骤2：确认规则明细并开始审查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5B6"/>
          <w:sz w:val="32"/>
        </w:rPr>
        <w:t>二、文档审查流程（2/2）</w:t>
      </w:r>
    </w:p>
    <w:p>
      <w:pPr>
        <w:spacing w:after="120"/>
      </w:pPr>
      <w:r>
        <w:rPr>
          <w:rFonts w:ascii="Calibri" w:hAnsi="Calibri" w:eastAsia="Microsoft YaHei"/>
          <w:b/>
          <w:color w:val="17365D"/>
          <w:sz w:val="21"/>
        </w:rPr>
        <w:t>审查过程中可查看章节进度并进行暂停或停止；完成后集中展示问题并下载报告。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268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档审查-审查进度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6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jc w:val="center"/>
      </w:pPr>
      <w:r>
        <w:rPr>
          <w:rFonts w:ascii="Calibri" w:hAnsi="Calibri" w:eastAsia="Microsoft YaHei"/>
          <w:b w:val="0"/>
          <w:color w:val="667085"/>
          <w:sz w:val="17"/>
        </w:rPr>
        <w:t>步骤3：查看审查进度，支持暂停、停止和收起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268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档审查-审查结果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6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jc w:val="center"/>
      </w:pPr>
      <w:r>
        <w:rPr>
          <w:rFonts w:ascii="Calibri" w:hAnsi="Calibri" w:eastAsia="Microsoft YaHei"/>
          <w:b w:val="0"/>
          <w:color w:val="667085"/>
          <w:sz w:val="17"/>
        </w:rPr>
        <w:t>步骤4：查看问题统计及明细，下载 DOCX 审查报告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5B6"/>
          <w:sz w:val="32"/>
        </w:rPr>
        <w:t>三、文档生成</w:t>
      </w:r>
    </w:p>
    <w:p>
      <w:pPr>
        <w:spacing w:after="120"/>
      </w:pPr>
      <w:r>
        <w:rPr>
          <w:rFonts w:ascii="Calibri" w:hAnsi="Calibri" w:eastAsia="Microsoft YaHei"/>
          <w:b/>
          <w:color w:val="17365D"/>
          <w:sz w:val="21"/>
        </w:rPr>
        <w:t>用户选择已维护的模板并填写生成素材，平台按模板结构组织内容并输出 DOCX 文档。</w:t>
      </w:r>
    </w:p>
    <w:p>
      <w:pPr>
        <w:pStyle w:val="ListBullet"/>
        <w:spacing w:after="60" w:line="259" w:lineRule="auto"/>
      </w:pPr>
      <w:r>
        <w:rPr>
          <w:rFonts w:ascii="Calibri" w:hAnsi="Calibri" w:eastAsia="Microsoft YaHei"/>
          <w:b w:val="0"/>
          <w:color w:val="1F2937"/>
          <w:sz w:val="20"/>
        </w:rPr>
        <w:t>支持智能生成与模板填充两种方式。</w:t>
      </w:r>
    </w:p>
    <w:p>
      <w:pPr>
        <w:pStyle w:val="ListBullet"/>
        <w:spacing w:after="60" w:line="259" w:lineRule="auto"/>
      </w:pPr>
      <w:r>
        <w:rPr>
          <w:rFonts w:ascii="Calibri" w:hAnsi="Calibri" w:eastAsia="Microsoft YaHei"/>
          <w:b w:val="0"/>
          <w:color w:val="1F2937"/>
          <w:sz w:val="20"/>
        </w:rPr>
        <w:t>支持产品信息、项目资料、参考依据和补充材料等输入。</w:t>
      </w:r>
    </w:p>
    <w:p>
      <w:pPr>
        <w:pStyle w:val="ListBullet"/>
        <w:spacing w:after="60" w:line="259" w:lineRule="auto"/>
      </w:pPr>
      <w:r>
        <w:rPr>
          <w:rFonts w:ascii="Calibri" w:hAnsi="Calibri" w:eastAsia="Microsoft YaHei"/>
          <w:b w:val="0"/>
          <w:color w:val="1F2937"/>
          <w:sz w:val="20"/>
        </w:rPr>
        <w:t>保留模板样式、页眉页脚、页面设置和表格结构。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904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档生成界面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90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jc w:val="center"/>
      </w:pPr>
      <w:r>
        <w:rPr>
          <w:rFonts w:ascii="Calibri" w:hAnsi="Calibri" w:eastAsia="Microsoft YaHei"/>
          <w:b w:val="0"/>
          <w:color w:val="667085"/>
          <w:sz w:val="17"/>
        </w:rPr>
        <w:t>文档生成页面：模板选择、素材填写和历史记录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5B6"/>
          <w:sz w:val="32"/>
        </w:rPr>
        <w:t>四、生成模板管理</w:t>
      </w:r>
    </w:p>
    <w:p>
      <w:pPr>
        <w:spacing w:after="120"/>
      </w:pPr>
      <w:r>
        <w:rPr>
          <w:rFonts w:ascii="Calibri" w:hAnsi="Calibri" w:eastAsia="Microsoft YaHei"/>
          <w:b/>
          <w:color w:val="17365D"/>
          <w:sz w:val="21"/>
        </w:rPr>
        <w:t>上传正式 DOCX 模板后，平台自动解析章节结构，并允许业务人员补充生成说明和输入字段。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2686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档生成-生成模版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6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jc w:val="center"/>
      </w:pPr>
      <w:r>
        <w:rPr>
          <w:rFonts w:ascii="Calibri" w:hAnsi="Calibri" w:eastAsia="Microsoft YaHei"/>
          <w:b w:val="0"/>
          <w:color w:val="667085"/>
          <w:sz w:val="17"/>
        </w:rPr>
        <w:t>模板库：上传、复制、替换、删除和保存生成模板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26268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文档生成-模板信息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6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jc w:val="center"/>
      </w:pPr>
      <w:r>
        <w:rPr>
          <w:rFonts w:ascii="Calibri" w:hAnsi="Calibri" w:eastAsia="Microsoft YaHei"/>
          <w:b w:val="0"/>
          <w:color w:val="667085"/>
          <w:sz w:val="17"/>
        </w:rPr>
        <w:t>模板章节信息：维护章节策略、模板文字和生成说明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5B6"/>
          <w:sz w:val="32"/>
        </w:rPr>
        <w:t>五、知识库与后续协同</w:t>
      </w:r>
    </w:p>
    <w:p>
      <w:pPr>
        <w:spacing w:after="120"/>
      </w:pPr>
      <w:r>
        <w:rPr>
          <w:rFonts w:ascii="Calibri" w:hAnsi="Calibri" w:eastAsia="Microsoft YaHei"/>
          <w:b/>
          <w:color w:val="17365D"/>
          <w:sz w:val="21"/>
        </w:rPr>
        <w:t>知识库入口已经预留，后续可接入标准条款、领域知识、产品参数及项目资料。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074920" cy="235146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知识库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351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jc w:val="center"/>
      </w:pPr>
      <w:r>
        <w:rPr>
          <w:rFonts w:ascii="Calibri" w:hAnsi="Calibri" w:eastAsia="Microsoft YaHei"/>
          <w:b w:val="0"/>
          <w:color w:val="667085"/>
          <w:sz w:val="17"/>
        </w:rPr>
        <w:t>知识库能力预留：为审查与生成提供可引用的业务资料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17365D"/>
          <w:sz w:val="25"/>
        </w:rPr>
        <w:t>应用方需要提供的资料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5112"/>
        <w:gridCol w:w="2592"/>
      </w:tblGrid>
      <w:tr>
        <w:tc>
          <w:tcPr>
            <w:tcW w:type="dxa" w:w="312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应用方提供</w:t>
            </w:r>
          </w:p>
        </w:tc>
        <w:tc>
          <w:tcPr>
            <w:tcW w:type="dxa" w:w="312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3120"/>
            <w:shd w:fill="17365D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平台用途</w:t>
            </w:r>
          </w:p>
        </w:tc>
      </w:tr>
      <w:tr>
        <w:tc>
          <w:tcPr>
            <w:tcW w:type="dxa" w:w="31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审查规则</w:t>
            </w:r>
          </w:p>
        </w:tc>
        <w:tc>
          <w:tcPr>
            <w:tcW w:type="dxa" w:w="31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检查对象、判定条件、适用章节、问题等级、依据条款</w:t>
            </w:r>
          </w:p>
        </w:tc>
        <w:tc>
          <w:tcPr>
            <w:tcW w:type="dxa" w:w="31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配置审查规则</w:t>
            </w:r>
          </w:p>
        </w:tc>
      </w:tr>
      <w:tr>
        <w:tc>
          <w:tcPr>
            <w:tcW w:type="dxa" w:w="31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正式模板</w:t>
            </w:r>
          </w:p>
        </w:tc>
        <w:tc>
          <w:tcPr>
            <w:tcW w:type="dxa" w:w="31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实际使用的 DOCX 模板、固定格式、可变章节</w:t>
            </w:r>
          </w:p>
        </w:tc>
        <w:tc>
          <w:tcPr>
            <w:tcW w:type="dxa" w:w="31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建立生成模板</w:t>
            </w:r>
          </w:p>
        </w:tc>
      </w:tr>
      <w:tr>
        <w:tc>
          <w:tcPr>
            <w:tcW w:type="dxa" w:w="31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输入资料</w:t>
            </w:r>
          </w:p>
        </w:tc>
        <w:tc>
          <w:tcPr>
            <w:tcW w:type="dxa" w:w="31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产品参数、项目数据、参考依据及必填信息</w:t>
            </w:r>
          </w:p>
        </w:tc>
        <w:tc>
          <w:tcPr>
            <w:tcW w:type="dxa" w:w="31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配置生成输入</w:t>
            </w:r>
          </w:p>
        </w:tc>
      </w:tr>
      <w:tr>
        <w:tc>
          <w:tcPr>
            <w:tcW w:type="dxa" w:w="31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样例文档</w:t>
            </w:r>
          </w:p>
        </w:tc>
        <w:tc>
          <w:tcPr>
            <w:tcW w:type="dxa" w:w="31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合格样例及典型问题样例</w:t>
            </w:r>
          </w:p>
        </w:tc>
        <w:tc>
          <w:tcPr>
            <w:tcW w:type="dxa" w:w="31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校准生成与审查效果</w:t>
            </w:r>
          </w:p>
        </w:tc>
      </w:tr>
      <w:tr>
        <w:tc>
          <w:tcPr>
            <w:tcW w:type="dxa" w:w="31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/>
                <w:color w:val="17365D"/>
                <w:sz w:val="17"/>
              </w:rPr>
              <w:t>验收标准</w:t>
            </w:r>
          </w:p>
        </w:tc>
        <w:tc>
          <w:tcPr>
            <w:tcW w:type="dxa" w:w="31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完整性、准确性、格式及允许修改程度</w:t>
            </w:r>
          </w:p>
        </w:tc>
        <w:tc>
          <w:tcPr>
            <w:tcW w:type="dxa" w:w="3120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形成验收口径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17365D"/>
          <w:sz w:val="25"/>
        </w:rPr>
        <w:t>建议先完成一个典型文档试点</w:t>
      </w:r>
    </w:p>
    <w:p>
      <w:pPr>
        <w:pStyle w:val="ListNumber"/>
        <w:spacing w:after="40"/>
      </w:pPr>
      <w:r>
        <w:rPr>
          <w:rFonts w:ascii="Calibri" w:hAnsi="Calibri" w:eastAsia="Microsoft YaHei"/>
          <w:b w:val="0"/>
          <w:color w:val="1F2937"/>
          <w:sz w:val="19"/>
        </w:rPr>
        <w:t>选择一类高频、模板稳定、业务负责人明确的文档。</w:t>
      </w:r>
    </w:p>
    <w:p>
      <w:pPr>
        <w:pStyle w:val="ListNumber"/>
        <w:spacing w:after="40"/>
      </w:pPr>
      <w:r>
        <w:rPr>
          <w:rFonts w:ascii="Calibri" w:hAnsi="Calibri" w:eastAsia="Microsoft YaHei"/>
          <w:b w:val="0"/>
          <w:color w:val="1F2937"/>
          <w:sz w:val="19"/>
        </w:rPr>
        <w:t>提供正式模板、真实输入资料、首批规则和合格样例。</w:t>
      </w:r>
    </w:p>
    <w:p>
      <w:pPr>
        <w:pStyle w:val="ListNumber"/>
        <w:spacing w:after="40"/>
      </w:pPr>
      <w:r>
        <w:rPr>
          <w:rFonts w:ascii="Calibri" w:hAnsi="Calibri" w:eastAsia="Microsoft YaHei"/>
          <w:b w:val="0"/>
          <w:color w:val="1F2937"/>
          <w:sz w:val="19"/>
        </w:rPr>
        <w:t>双方联合完成一次生成和一次审查，共同确认调整项。</w:t>
      </w:r>
    </w:p>
    <w:p>
      <w:pPr>
        <w:pStyle w:val="ListNumber"/>
        <w:spacing w:after="40"/>
      </w:pPr>
      <w:r>
        <w:rPr>
          <w:rFonts w:ascii="Calibri" w:hAnsi="Calibri" w:eastAsia="Microsoft YaHei"/>
          <w:b w:val="0"/>
          <w:color w:val="1F2937"/>
          <w:sz w:val="19"/>
        </w:rPr>
        <w:t>形成验收基线后，再逐步扩展到其他文档类型。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864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color w:val="667085"/>
        <w:sz w:val="16"/>
      </w:rPr>
      <w:t>项目阶段介绍 · 2026年6月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 w:val="0"/>
        <w:color w:val="667085"/>
        <w:sz w:val="16"/>
      </w:rPr>
      <w:t>文档审查与辅助生成平台 | 应用方介绍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