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逆风而行的你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E:\github\新建文件夹\profileRe\document.docx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0:01:57.710180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LLM问题数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pPr>
        <w:pStyle w:val="Heading1"/>
      </w:pPr>
      <w:r>
        <w:t>规则审查问题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问题类型</w:t>
            </w:r>
          </w:p>
        </w:tc>
        <w:tc>
          <w:tcPr>
            <w:tcW w:type="dxa" w:w="2160"/>
          </w:tcPr>
          <w:p>
            <w:r>
              <w:t>问题描述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连续标点符号: 2处</w:t>
            </w:r>
          </w:p>
        </w:tc>
        <w:tc>
          <w:tcPr>
            <w:tcW w:type="dxa" w:w="2160"/>
          </w:tcPr>
          <w:p>
            <w:r>
              <w:t>避免连续使用标点</w:t>
            </w:r>
          </w:p>
        </w:tc>
      </w:tr>
    </w:tbl>
    <w:p>
      <w:pPr>
        <w:pStyle w:val="Heading1"/>
      </w:pPr>
      <w:r>
        <w:t>LLM审查问题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问题描述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逆风而行的你...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文档片段“逆风而行的你”为文学性标题，不符合工程文档的客观、严谨、技术性要求，存在严重的排版与内容适用性问题。</w:t>
            </w:r>
          </w:p>
        </w:tc>
        <w:tc>
          <w:tcPr>
            <w:tcW w:type="dxa" w:w="2160"/>
          </w:tcPr>
          <w:p>
            <w:r>
              <w:t>将标题修改为能准确反映文档技术内容的标题，例如“XX作动系统故障模式分析报告”或“XX系统逆风工况影响评估”。</w:t>
            </w:r>
          </w:p>
        </w:tc>
      </w:tr>
      <w:tr>
        <w:tc>
          <w:tcPr>
            <w:tcW w:type="dxa" w:w="2160"/>
          </w:tcPr>
          <w:p>
            <w:r>
              <w:t>逆风而行的你...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片段“逆风而行的你”使用了拟人化修辞，在工程语境下构成语法与语义错误。</w:t>
            </w:r>
          </w:p>
        </w:tc>
        <w:tc>
          <w:tcPr>
            <w:tcW w:type="dxa" w:w="2160"/>
          </w:tcPr>
          <w:p>
            <w:r>
              <w:t>删除拟人化表达，使用客观陈述句描述系统、部件或工况，例如“系统在逆风工况下的性能分析”。</w:t>
            </w:r>
          </w:p>
        </w:tc>
      </w:tr>
      <w:tr>
        <w:tc>
          <w:tcPr>
            <w:tcW w:type="dxa" w:w="2160"/>
          </w:tcPr>
          <w:p>
            <w:r>
              <w:t>随着年味愈来愈浓时，一场突如其来的疫情防控狙击战骤然打响。...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存在口语化表达及非工程用语。“愈来愈浓时”和“狙击战”为文学性描述，不符合工程文档的客观、严谨要求。</w:t>
            </w:r>
          </w:p>
        </w:tc>
        <w:tc>
          <w:tcPr>
            <w:tcW w:type="dxa" w:w="2160"/>
          </w:tcPr>
          <w:p>
            <w:r>
              <w:t>将“随着年味愈来愈浓时，一场突如其来的疫情防控狙击战骤然打响。”修改为客观陈述，例如：“在特定时间节点，突发公共卫生事件应急响应机制被启动。”</w:t>
            </w:r>
          </w:p>
        </w:tc>
      </w:tr>
      <w:tr>
        <w:tc>
          <w:tcPr>
            <w:tcW w:type="dxa" w:w="2160"/>
          </w:tcPr>
          <w:p>
            <w:r>
              <w:t>随着年味愈来愈浓时，一场突如其来的疫情防控狙击战骤然打响。...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用词不准确。“狙击战”应为“阻击战”。</w:t>
            </w:r>
          </w:p>
        </w:tc>
        <w:tc>
          <w:tcPr>
            <w:tcW w:type="dxa" w:w="2160"/>
          </w:tcPr>
          <w:p>
            <w:r>
              <w:t>将“狙击战”修改为“阻击战”。</w:t>
            </w:r>
          </w:p>
        </w:tc>
      </w:tr>
      <w:tr>
        <w:tc>
          <w:tcPr>
            <w:tcW w:type="dxa" w:w="2160"/>
          </w:tcPr>
          <w:p>
            <w:r>
      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存在多处标点符号使用错误，包括逗号、句号、顿号使用不当，以及空格缺失。</w:t>
            </w:r>
          </w:p>
        </w:tc>
        <w:tc>
          <w:tcPr>
            <w:tcW w:type="dxa" w:w="2160"/>
          </w:tcPr>
          <w:p>
            <w:r>
              <w:t>将“地”战争、“地”勇士、“地”方中的“地”修改为“的”。将“可是，，现在”中的双逗号修改为单逗号。将“坚持站在在自己的岗位上。”中的“在在”修改为“在”。在“可是，”后、“现在”前添加空格。将“与多年不见好友相聚”修改为“与多年不见的好友相聚”。</w:t>
            </w:r>
          </w:p>
        </w:tc>
      </w:tr>
      <w:tr>
        <w:tc>
          <w:tcPr>
            <w:tcW w:type="dxa" w:w="2160"/>
          </w:tcPr>
          <w:p>
            <w:r>
      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存在多处“的、地、得”使用错误。</w:t>
            </w:r>
          </w:p>
        </w:tc>
        <w:tc>
          <w:tcPr>
            <w:tcW w:type="dxa" w:w="2160"/>
          </w:tcPr>
          <w:p>
            <w:r>
              <w:t>将“没有硝烟地战争”修改为“没有硝烟的战争”。将“逆行地勇士”修改为“逆行的勇士”。将“在昏暗地方”修改为“在昏暗的地方”。</w:t>
            </w:r>
          </w:p>
        </w:tc>
      </w:tr>
      <w:tr>
        <w:tc>
          <w:tcPr>
            <w:tcW w:type="dxa" w:w="2160"/>
          </w:tcPr>
          <w:p>
            <w:r>
              <w:t>2.小标题...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标题层级标识不规范，缺少明确的标题编号或层级符号。</w:t>
            </w:r>
          </w:p>
        </w:tc>
        <w:tc>
          <w:tcPr>
            <w:tcW w:type="dxa" w:w="2160"/>
          </w:tcPr>
          <w:p>
            <w:r>
              <w:t>根据文档层级结构，为标题添加规范的编号，例如“2.1”、“2.2”或使用明确的层级符号如“## 小标题”。</w:t>
            </w:r>
          </w:p>
        </w:tc>
      </w:tr>
      <w:tr>
        <w:tc>
          <w:tcPr>
            <w:tcW w:type="dxa" w:w="2160"/>
          </w:tcPr>
          <w:p>
            <w:r>
              <w:t>2.小标题...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标题内容过于简略，未能清晰概括其下辖内容。</w:t>
            </w:r>
          </w:p>
        </w:tc>
        <w:tc>
          <w:tcPr>
            <w:tcW w:type="dxa" w:w="2160"/>
          </w:tcPr>
          <w:p>
            <w:r>
              <w:t>将“小标题”修改为具体、能概括本节核心内容的标题，例如“2. 系统架构概述”或“2. 设计依据与标准”。</w:t>
            </w:r>
          </w:p>
        </w:tc>
      </w:tr>
      <w:tr>
        <w:tc>
          <w:tcPr>
            <w:tcW w:type="dxa" w:w="2160"/>
          </w:tcPr>
          <w:p>
            <w:r>
      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标点使用不规范，存在中文全角标点与英文半角标点混用的情况。</w:t>
            </w:r>
          </w:p>
        </w:tc>
        <w:tc>
          <w:tcPr>
            <w:tcW w:type="dxa" w:w="2160"/>
          </w:tcPr>
          <w:p>
            <w:r>
              <w:t>将英文半角逗号“,”和句号“.”统一修改为中文全角标点“，”和“。”。</w:t>
            </w:r>
          </w:p>
        </w:tc>
      </w:tr>
      <w:tr>
        <w:tc>
          <w:tcPr>
            <w:tcW w:type="dxa" w:w="2160"/>
          </w:tcPr>
          <w:p>
            <w:r>
      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存在“的、地、得”使用错误。</w:t>
            </w:r>
          </w:p>
        </w:tc>
        <w:tc>
          <w:tcPr>
            <w:tcW w:type="dxa" w:w="2160"/>
          </w:tcPr>
          <w:p>
            <w:r>
              <w:t>将“在一线地医护人员”修改为“在一线的医护人员”；将“他们得帮助”修改为“他们的帮助”。</w:t>
            </w:r>
          </w:p>
        </w:tc>
      </w:tr>
      <w:tr>
        <w:tc>
          <w:tcPr>
            <w:tcW w:type="dxa" w:w="2160"/>
          </w:tcPr>
          <w:p>
            <w:r>
      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存在错别字。</w:t>
            </w:r>
          </w:p>
        </w:tc>
        <w:tc>
          <w:tcPr>
            <w:tcW w:type="dxa" w:w="2160"/>
          </w:tcPr>
          <w:p>
            <w:r>
              <w:t>将“齐装上阵”修改为“披挂上阵”或“整装上阵”。</w:t>
            </w:r>
          </w:p>
        </w:tc>
      </w:tr>
      <w:tr>
        <w:tc>
          <w:tcPr>
            <w:tcW w:type="dxa" w:w="2160"/>
          </w:tcPr>
          <w:p>
            <w:r>
              <w:t>测试错误...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标题“测试错误”过于口语化，不符合工程文档的正式性要求。</w:t>
            </w:r>
          </w:p>
        </w:tc>
        <w:tc>
          <w:tcPr>
            <w:tcW w:type="dxa" w:w="2160"/>
          </w:tcPr>
          <w:p>
            <w:r>
              <w:t>根据章节具体内容，修改为更具描述性的标题，例如“测试异常处理”、“测试故障注入”或“测试失效模式分析”。</w:t>
            </w:r>
          </w:p>
        </w:tc>
      </w:tr>
      <w:tr>
        <w:tc>
          <w:tcPr>
            <w:tcW w:type="dxa" w:w="2160"/>
          </w:tcPr>
          <w:p>
            <w:r>
              <w:t>测试错误...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标题“测试错误”存在歧义，可能指“测试中发现的错误”或“测试本身是错误的”。</w:t>
            </w:r>
          </w:p>
        </w:tc>
        <w:tc>
          <w:tcPr>
            <w:tcW w:type="dxa" w:w="2160"/>
          </w:tcPr>
          <w:p>
            <w:r>
              <w:t>为避免歧义，应明确表述。若指测试中发现的缺陷，建议修改为“测试发现的缺陷”；若指测试过程或方法有误，建议修改为“测试程序错误”或“测试方法不当”。</w:t>
            </w:r>
          </w:p>
        </w:tc>
      </w:tr>
    </w:tbl>
    <w:p>
      <w:pPr>
        <w:pStyle w:val="Heading1"/>
      </w:pPr>
      <w:r>
        <w:t>审查总结</w:t>
      </w:r>
    </w:p>
    <w:p>
      <w:r>
        <w:t>文档内容与航空作动系统工程领域无关，属于抒情散文，存在大量格式、语法及逻辑问题，不符合工程文档审查标准。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2026-03-24 09:29:33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