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53386">
      <w:pPr>
        <w:bidi w:val="0"/>
        <w:ind w:left="0" w:leftChars="0" w:firstLine="0" w:firstLineChars="0"/>
        <w:rPr>
          <w:rFonts w:hint="eastAsia"/>
        </w:rPr>
      </w:pPr>
      <w:bookmarkStart w:id="0" w:name="_Toc4086"/>
    </w:p>
    <w:tbl>
      <w:tblPr>
        <w:tblStyle w:val="33"/>
        <w:tblW w:w="0" w:type="auto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</w:tblGrid>
      <w:tr w14:paraId="025B5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814" w:type="dxa"/>
          </w:tcPr>
          <w:p w14:paraId="132024CA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  <w:t>阶段标识</w:t>
            </w:r>
          </w:p>
        </w:tc>
        <w:tc>
          <w:tcPr>
            <w:tcW w:w="1814" w:type="dxa"/>
          </w:tcPr>
          <w:p w14:paraId="337EEEAE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</w:t>
            </w:r>
          </w:p>
        </w:tc>
      </w:tr>
      <w:tr w14:paraId="36B21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814" w:type="dxa"/>
          </w:tcPr>
          <w:p w14:paraId="79D283D9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1"/>
                <w:szCs w:val="21"/>
                <w:vertAlign w:val="baseline"/>
                <w:lang w:val="en-US" w:eastAsia="zh-CN"/>
              </w:rPr>
              <w:t>版次</w:t>
            </w:r>
          </w:p>
        </w:tc>
        <w:tc>
          <w:tcPr>
            <w:tcW w:w="1814" w:type="dxa"/>
          </w:tcPr>
          <w:p w14:paraId="7C31F089">
            <w:pPr>
              <w:bidi w:val="0"/>
              <w:spacing w:after="0"/>
              <w:rPr>
                <w:rFonts w:hint="eastAsia" w:ascii="黑体" w:hAnsi="黑体" w:eastAsia="黑体" w:cs="黑体"/>
                <w:sz w:val="21"/>
                <w:szCs w:val="21"/>
                <w:vertAlign w:val="baseline"/>
              </w:rPr>
            </w:pPr>
            <w:r>
              <w:rPr>
                <w:rFonts w:hint="eastAsia"/>
              </w:rPr>
              <w:t>V1.0</w:t>
            </w:r>
          </w:p>
        </w:tc>
      </w:tr>
    </w:tbl>
    <w:p w14:paraId="09CB58A5">
      <w:pPr>
        <w:bidi w:val="0"/>
        <w:rPr>
          <w:rFonts w:hint="eastAsia"/>
        </w:rPr>
      </w:pPr>
    </w:p>
    <w:p w14:paraId="7C07733F">
      <w:pPr>
        <w:bidi w:val="0"/>
        <w:rPr>
          <w:rFonts w:hint="eastAsia"/>
        </w:rPr>
      </w:pPr>
    </w:p>
    <w:p w14:paraId="74948A1C">
      <w:pPr>
        <w:bidi w:val="0"/>
        <w:rPr>
          <w:rFonts w:hint="eastAsia"/>
        </w:rPr>
      </w:pPr>
    </w:p>
    <w:p w14:paraId="1BAC6024">
      <w:pPr>
        <w:pStyle w:val="3"/>
        <w:numPr>
          <w:numId w:val="0"/>
        </w:numPr>
        <w:ind w:leftChars="0"/>
        <w:jc w:val="both"/>
        <w:rPr>
          <w:rFonts w:hint="eastAsia"/>
          <w:sz w:val="32"/>
          <w:szCs w:val="32"/>
        </w:rPr>
      </w:pPr>
    </w:p>
    <w:p w14:paraId="6C657952">
      <w:pPr>
        <w:pStyle w:val="3"/>
        <w:numPr>
          <w:numId w:val="0"/>
        </w:numPr>
        <w:tabs>
          <w:tab w:val="clear" w:pos="0"/>
          <w:tab w:val="clear" w:pos="420"/>
        </w:tabs>
        <w:ind w:leftChars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XX产品</w:t>
      </w:r>
    </w:p>
    <w:p w14:paraId="494F4EC3">
      <w:pPr>
        <w:pStyle w:val="3"/>
        <w:numPr>
          <w:numId w:val="0"/>
        </w:numPr>
        <w:tabs>
          <w:tab w:val="clear" w:pos="0"/>
          <w:tab w:val="clear" w:pos="420"/>
        </w:tabs>
        <w:ind w:leftChars="0"/>
        <w:jc w:val="center"/>
        <w:rPr>
          <w:sz w:val="32"/>
          <w:szCs w:val="32"/>
        </w:rPr>
      </w:pPr>
      <w:bookmarkStart w:id="1" w:name="_GoBack"/>
      <w:bookmarkEnd w:id="1"/>
      <w:r>
        <w:rPr>
          <w:rFonts w:hint="eastAsia"/>
          <w:sz w:val="32"/>
          <w:szCs w:val="32"/>
          <w:lang w:val="en-US" w:eastAsia="zh-CN"/>
        </w:rPr>
        <w:t>产品</w:t>
      </w:r>
      <w:r>
        <w:rPr>
          <w:rFonts w:hint="eastAsia"/>
          <w:sz w:val="32"/>
          <w:szCs w:val="32"/>
        </w:rPr>
        <w:t>规范</w:t>
      </w:r>
      <w:bookmarkEnd w:id="0"/>
    </w:p>
    <w:p w14:paraId="2EAE4CA0">
      <w:pPr>
        <w:pStyle w:val="16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AS-PRD-001</w:t>
      </w:r>
    </w:p>
    <w:p w14:paraId="2CA4733B">
      <w:pPr>
        <w:pStyle w:val="4"/>
        <w:rPr>
          <w:rFonts w:hint="eastAsia" w:ascii="黑体" w:hAnsi="黑体" w:eastAsia="黑体" w:cs="黑体"/>
          <w:sz w:val="28"/>
          <w:szCs w:val="28"/>
        </w:rPr>
      </w:pPr>
    </w:p>
    <w:p w14:paraId="69EFAAF9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共8页</w:t>
      </w:r>
    </w:p>
    <w:p w14:paraId="41ACB3CE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7B55E479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04567411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CD44C61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3EFBCAE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DAC661D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科技中心</w:t>
      </w:r>
    </w:p>
    <w:p w14:paraId="1305F15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2020年6月</w:t>
      </w:r>
    </w:p>
    <w:p w14:paraId="1ABDAEC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25CE079A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DAC3F68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3D826C7">
      <w:pPr>
        <w:pStyle w:val="4"/>
        <w:ind w:left="0" w:leftChars="0" w:firstLine="0" w:firstLineChars="0"/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6C6F469">
      <w:pPr>
        <w:pStyle w:val="4"/>
        <w:ind w:left="0" w:leftChars="0" w:firstLine="0" w:firstLineChars="0"/>
        <w:jc w:val="center"/>
        <w:rPr>
          <w:rFonts w:hint="default" w:ascii="黑体" w:hAnsi="黑体" w:eastAsia="黑体" w:cs="黑体"/>
          <w:sz w:val="28"/>
          <w:szCs w:val="28"/>
          <w:lang w:val="en-US" w:eastAsia="zh-CN"/>
        </w:rPr>
      </w:pPr>
    </w:p>
    <w:p w14:paraId="7735CC51">
      <w:pPr>
        <w:ind w:left="0" w:leftChars="0" w:firstLine="4200" w:firstLineChars="1400"/>
        <w:jc w:val="both"/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  <w:t>前言</w:t>
      </w:r>
    </w:p>
    <w:p w14:paraId="3776F355">
      <w:pPr>
        <w:ind w:firstLine="6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根据《XXX技术协议》，A产品生产任务拆解如下。</w:t>
      </w:r>
    </w:p>
    <w:p w14:paraId="220AE633">
      <w:pPr>
        <w:ind w:firstLine="6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该产品主要功能是保温、耐高温。产品主要安装在树上。</w:t>
      </w:r>
    </w:p>
    <w:p w14:paraId="7AC285D5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范围</w:t>
      </w:r>
    </w:p>
    <w:p w14:paraId="4A840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本规范规定了</w:t>
      </w:r>
      <w:r>
        <w:rPr>
          <w:rFonts w:hint="eastAsia"/>
          <w:lang w:val="en-US" w:eastAsia="zh-CN"/>
        </w:rPr>
        <w:t>该产品</w:t>
      </w:r>
      <w:r>
        <w:rPr>
          <w:rFonts w:hint="eastAsia"/>
        </w:rPr>
        <w:t>控制组件的技术要求、验证方法以及包装、运输与贮存要求。</w:t>
      </w:r>
    </w:p>
    <w:p w14:paraId="3E952F0F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引用文件</w:t>
      </w:r>
    </w:p>
    <w:p w14:paraId="5B576B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下列文件中的有关条款通过本规范的引用而成为本规范的条款。凡注明日期的引用文件，仅所注明日期的版本适用于本规范；凡未注明日期的引用文件，其最新版本适用于本规范。</w:t>
      </w:r>
    </w:p>
    <w:tbl>
      <w:tblPr>
        <w:tblStyle w:val="3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BCC1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35DBB7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40" w:lineRule="exact"/>
              <w:ind w:left="480" w:leftChars="200" w:firstLine="0" w:firstLineChars="0"/>
              <w:jc w:val="center"/>
              <w:textAlignment w:val="auto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150A</w:t>
            </w:r>
          </w:p>
        </w:tc>
        <w:tc>
          <w:tcPr>
            <w:tcW w:w="4428" w:type="dxa"/>
            <w:vAlign w:val="center"/>
          </w:tcPr>
          <w:p w14:paraId="6336F2D4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《军用装备实验室环境试验方法》</w:t>
            </w:r>
          </w:p>
        </w:tc>
      </w:tr>
      <w:tr w14:paraId="54D1E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3581B01B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368B</w:t>
            </w:r>
          </w:p>
        </w:tc>
        <w:tc>
          <w:tcPr>
            <w:tcW w:w="4428" w:type="dxa"/>
            <w:vAlign w:val="center"/>
          </w:tcPr>
          <w:p w14:paraId="606787AF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《装备维修性通用规范》</w:t>
            </w:r>
          </w:p>
        </w:tc>
      </w:tr>
      <w:tr w14:paraId="55A9D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vAlign w:val="center"/>
          </w:tcPr>
          <w:p w14:paraId="70BBF852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GJB 899A</w:t>
            </w:r>
          </w:p>
        </w:tc>
        <w:tc>
          <w:tcPr>
            <w:tcW w:w="4428" w:type="dxa"/>
            <w:vAlign w:val="center"/>
          </w:tcPr>
          <w:p w14:paraId="5C3478E0">
            <w:pPr>
              <w:spacing w:after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《可靠性鉴定和验收试验》</w:t>
            </w:r>
          </w:p>
        </w:tc>
      </w:tr>
    </w:tbl>
    <w:p w14:paraId="0A918A2A">
      <w:pPr>
        <w:ind w:left="0" w:leftChars="0" w:firstLine="0" w:firstLineChars="0"/>
        <w:rPr>
          <w:rFonts w:hint="eastAsia"/>
        </w:rPr>
      </w:pPr>
    </w:p>
    <w:p w14:paraId="4BCA108F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功能要求</w:t>
      </w:r>
    </w:p>
    <w:p w14:paraId="46B6FA6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产品应能够接收飞控系统输出的控制指令，并完成作动控制功能。</w:t>
      </w:r>
    </w:p>
    <w:p w14:paraId="65714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产品应具备以下功能：</w:t>
      </w:r>
    </w:p>
    <w:p w14:paraId="01F644BB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控制指令接收与解析功能；</w:t>
      </w:r>
    </w:p>
    <w:p w14:paraId="06B8A704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作动执行控制功能；</w:t>
      </w:r>
    </w:p>
    <w:p w14:paraId="1DED1E2E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位置状态反馈功能；</w:t>
      </w:r>
    </w:p>
    <w:p w14:paraId="78482020">
      <w:pPr>
        <w:ind w:firstLine="960" w:firstLineChars="4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故障检测与报警功能</w:t>
      </w:r>
      <w:r>
        <w:rPr>
          <w:rFonts w:hint="eastAsia"/>
          <w:lang w:val="en-US" w:eastAsia="zh-CN"/>
        </w:rPr>
        <w:t>。</w:t>
      </w:r>
    </w:p>
    <w:p w14:paraId="3239B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产品应支持连续工作模式和间歇工作模式。</w:t>
      </w:r>
    </w:p>
    <w:p w14:paraId="4929F4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在额定工作条件下，产品应能够在规定时间内完成控制响应。</w:t>
      </w:r>
    </w:p>
    <w:p w14:paraId="0BD9EE69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接口要求</w:t>
      </w:r>
    </w:p>
    <w:p w14:paraId="0F3BCB5C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机械接口</w:t>
      </w:r>
    </w:p>
    <w:p w14:paraId="5EE3F0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安装方式采用四点固定安装结构。</w:t>
      </w:r>
    </w:p>
    <w:p w14:paraId="655949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</w:rPr>
        <w:t>机械接口尺寸应符合产品安装图要求。</w:t>
      </w:r>
    </w:p>
    <w:p w14:paraId="32E4E9DC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电气接口</w:t>
      </w:r>
    </w:p>
    <w:p w14:paraId="7E3C60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产品应采用航空专用圆形连接器。</w:t>
      </w:r>
    </w:p>
    <w:p w14:paraId="6C9B61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电源接口应满足28 VDC输入要求。</w:t>
      </w:r>
    </w:p>
    <w:p w14:paraId="4FB5BB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信号接口应满足抗电磁干扰要求。</w:t>
      </w:r>
    </w:p>
    <w:p w14:paraId="5399DAE1">
      <w:pPr>
        <w:pStyle w:val="3"/>
        <w:numPr>
          <w:ilvl w:val="0"/>
          <w:numId w:val="9"/>
        </w:numPr>
        <w:tabs>
          <w:tab w:val="clear" w:pos="0"/>
        </w:tabs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环境适应性要求</w:t>
      </w:r>
    </w:p>
    <w:p w14:paraId="30FECD1E">
      <w:pPr>
        <w:numPr>
          <w:ilvl w:val="1"/>
          <w:numId w:val="9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温度环境</w:t>
      </w:r>
    </w:p>
    <w:p w14:paraId="7EADA2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left="480" w:leftChars="200" w:firstLine="0" w:firstLineChars="0"/>
        <w:textAlignment w:val="auto"/>
        <w:rPr>
          <w:rFonts w:hint="eastAsia"/>
        </w:rPr>
      </w:pPr>
      <w:r>
        <w:rPr>
          <w:rFonts w:hint="eastAsia"/>
        </w:rPr>
        <w:t>工作温度范围：-40 ℃～+70 ℃。</w:t>
      </w:r>
      <w:r>
        <w:rPr>
          <w:rFonts w:hint="eastAsia"/>
        </w:rPr>
        <w:br w:type="textWrapping"/>
      </w:r>
      <w:r>
        <w:rPr>
          <w:rFonts w:hint="eastAsia"/>
        </w:rPr>
        <w:t>贮存温度范围：-55 ℃～+85 ℃。</w:t>
      </w:r>
    </w:p>
    <w:p w14:paraId="7664F68C">
      <w:pPr>
        <w:ind w:left="0" w:leftChars="0" w:firstLine="480" w:firstLineChars="200"/>
        <w:rPr>
          <w:rFonts w:hint="default"/>
          <w:lang w:val="en-US" w:eastAsia="zh-CN"/>
        </w:rPr>
      </w:pPr>
      <w:r>
        <w:rPr>
          <w:rFonts w:hint="eastAsia"/>
        </w:rPr>
        <w:t>产品在高低温条件下应能够正常工作，不应出现功能异常。</w:t>
      </w:r>
    </w:p>
    <w:p w14:paraId="420281C4">
      <w:pPr>
        <w:numPr>
          <w:ilvl w:val="1"/>
          <w:numId w:val="9"/>
        </w:numPr>
        <w:bidi w:val="0"/>
        <w:ind w:left="0" w:leftChars="0" w:firstLine="0" w:firstLineChars="0"/>
      </w:pPr>
      <w:r>
        <w:rPr>
          <w:rFonts w:hint="eastAsia"/>
        </w:rPr>
        <w:t>湿热环境</w:t>
      </w:r>
    </w:p>
    <w:p w14:paraId="3338A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产品应能够承受相对湿度95%的湿热环境试验。</w:t>
      </w:r>
    </w:p>
    <w:p w14:paraId="39CCAB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试验后产品应无腐蚀、开裂及性能下降现象。</w:t>
      </w:r>
    </w:p>
    <w:p w14:paraId="17AF37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eastAsia="宋体"/>
          <w:lang w:val="en-US" w:eastAsia="zh-CN"/>
        </w:rPr>
      </w:pP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69D54">
    <w:pPr>
      <w:pStyle w:val="25"/>
      <w:pBdr>
        <w:bottom w:val="single" w:color="auto" w:sz="4" w:space="0"/>
      </w:pBdr>
      <w:ind w:left="0" w:leftChars="0" w:firstLine="0" w:firstLineChars="0"/>
      <w:jc w:val="center"/>
      <w:rPr>
        <w:rFonts w:hint="default"/>
        <w:u w:val="none"/>
        <w:lang w:val="en-US" w:eastAsia="zh-CN"/>
      </w:rPr>
    </w:pPr>
    <w:r>
      <w:rPr>
        <w:rFonts w:hint="eastAsia"/>
        <w:u w:val="none"/>
        <w:lang w:val="en-US" w:eastAsia="zh-CN"/>
      </w:rPr>
      <w:t>A产品规范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BEB4B4"/>
    <w:multiLevelType w:val="multilevel"/>
    <w:tmpl w:val="D3BEB4B4"/>
    <w:lvl w:ilvl="0" w:tentative="0">
      <w:start w:val="1"/>
      <w:numFmt w:val="decimal"/>
      <w:lvlText w:val="%1"/>
      <w:lvlJc w:val="left"/>
      <w:pPr>
        <w:tabs>
          <w:tab w:val="left" w:pos="420"/>
        </w:tabs>
        <w:ind w:left="425" w:leftChars="0" w:hanging="425" w:firstLineChars="0"/>
      </w:pPr>
      <w:rPr>
        <w:rFonts w:hint="default" w:ascii="Times New Roman" w:hAnsi="Times New Roman" w:cs="Times New Roman"/>
        <w:sz w:val="24"/>
        <w:szCs w:val="24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  <w:sz w:val="24"/>
        <w:szCs w:val="24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DF008D9E"/>
    <w:multiLevelType w:val="multilevel"/>
    <w:tmpl w:val="DF008D9E"/>
    <w:lvl w:ilvl="0" w:tentative="0">
      <w:start w:val="1"/>
      <w:numFmt w:val="decimal"/>
      <w:pStyle w:val="3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033B5ED5"/>
    <w:multiLevelType w:val="multilevel"/>
    <w:tmpl w:val="033B5ED5"/>
    <w:lvl w:ilvl="0" w:tentative="0">
      <w:start w:val="1"/>
      <w:numFmt w:val="decimal"/>
      <w:pStyle w:val="5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6"/>
      <w:isLgl/>
      <w:lvlText w:val="%1.%2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6"/>
  </w:num>
  <w:num w:numId="5">
    <w:abstractNumId w:val="7"/>
  </w:num>
  <w:num w:numId="6">
    <w:abstractNumId w:val="4"/>
  </w:num>
  <w:num w:numId="7">
    <w:abstractNumId w:val="2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EwMjhiNDhmZGE3YWZlNzVkNDEzM2IxNGQ5ODA0YjY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841B56"/>
    <w:rsid w:val="145754B1"/>
    <w:rsid w:val="345E4F11"/>
    <w:rsid w:val="39A641AA"/>
    <w:rsid w:val="3B235E17"/>
    <w:rsid w:val="47193E46"/>
    <w:rsid w:val="4EEE38E1"/>
    <w:rsid w:val="54CA433E"/>
    <w:rsid w:val="5DC27D68"/>
    <w:rsid w:val="5DD07337"/>
    <w:rsid w:val="610E7CE2"/>
    <w:rsid w:val="71107825"/>
    <w:rsid w:val="7D401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  <w:ind w:firstLine="600" w:firstLineChars="200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4"/>
    <w:link w:val="139"/>
    <w:qFormat/>
    <w:uiPriority w:val="9"/>
    <w:pPr>
      <w:keepNext/>
      <w:keepLines/>
      <w:numPr>
        <w:ilvl w:val="0"/>
        <w:numId w:val="1"/>
      </w:numPr>
      <w:tabs>
        <w:tab w:val="left" w:pos="420"/>
      </w:tabs>
      <w:spacing w:before="120" w:after="120" w:line="440" w:lineRule="exact"/>
      <w:ind w:left="17" w:hanging="17" w:firstLineChars="0"/>
      <w:outlineLvl w:val="0"/>
    </w:pPr>
    <w:rPr>
      <w:rFonts w:eastAsia="黑体" w:asciiTheme="majorAscii" w:hAnsiTheme="majorAscii" w:cstheme="majorBidi"/>
      <w:bCs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5">
    <w:name w:val="heading 2"/>
    <w:basedOn w:val="1"/>
    <w:next w:val="1"/>
    <w:link w:val="140"/>
    <w:unhideWhenUsed/>
    <w:qFormat/>
    <w:uiPriority w:val="9"/>
    <w:pPr>
      <w:keepNext/>
      <w:keepLines/>
      <w:numPr>
        <w:ilvl w:val="0"/>
        <w:numId w:val="2"/>
      </w:numPr>
      <w:spacing w:after="0"/>
      <w:ind w:firstLine="0" w:firstLineChars="0"/>
      <w:outlineLvl w:val="1"/>
    </w:pPr>
    <w:rPr>
      <w:rFonts w:ascii="Times New Roman" w:hAnsi="Times New Roman" w:eastAsia="黑体" w:cstheme="majorBidi"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6">
    <w:name w:val="heading 3"/>
    <w:basedOn w:val="1"/>
    <w:next w:val="4"/>
    <w:link w:val="135"/>
    <w:unhideWhenUsed/>
    <w:qFormat/>
    <w:uiPriority w:val="9"/>
    <w:pPr>
      <w:keepNext/>
      <w:keepLines/>
      <w:numPr>
        <w:ilvl w:val="1"/>
        <w:numId w:val="2"/>
      </w:numPr>
      <w:spacing w:after="0"/>
      <w:ind w:firstLine="0" w:firstLineChars="0"/>
      <w:outlineLvl w:val="1"/>
    </w:pPr>
    <w:rPr>
      <w:rFonts w:ascii="Times New Roman" w:hAnsi="Times New Roman" w:eastAsia="黑体" w:cstheme="majorBidi"/>
      <w:bCs/>
      <w:color w:val="auto"/>
    </w:rPr>
  </w:style>
  <w:style w:type="paragraph" w:styleId="7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4">
    <w:name w:val="Body Text"/>
    <w:basedOn w:val="1"/>
    <w:link w:val="144"/>
    <w:unhideWhenUsed/>
    <w:qFormat/>
    <w:uiPriority w:val="99"/>
    <w:pPr>
      <w:spacing w:after="120"/>
    </w:p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1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8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ing 3 Char"/>
    <w:basedOn w:val="132"/>
    <w:link w:val="6"/>
    <w:qFormat/>
    <w:uiPriority w:val="9"/>
    <w:rPr>
      <w:rFonts w:ascii="Times New Roman" w:hAnsi="Times New Roman" w:eastAsia="黑体" w:cstheme="majorBidi"/>
      <w:bCs/>
      <w:color w:val="auto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eastAsia="黑体" w:asciiTheme="majorAscii" w:hAnsiTheme="majorAscii" w:cstheme="majorBidi"/>
      <w:bCs/>
      <w:color w:val="000000" w:themeColor="text1"/>
      <w:sz w:val="24"/>
      <w:szCs w:val="28"/>
      <w14:textFill>
        <w14:solidFill>
          <w14:schemeClr w14:val="tx1"/>
        </w14:solidFill>
      </w14:textFill>
    </w:rPr>
  </w:style>
  <w:style w:type="character" w:customStyle="1" w:styleId="140">
    <w:name w:val="Heading 2 Char"/>
    <w:basedOn w:val="132"/>
    <w:link w:val="5"/>
    <w:qFormat/>
    <w:uiPriority w:val="9"/>
    <w:rPr>
      <w:rFonts w:ascii="Times New Roman" w:hAnsi="Times New Roman" w:eastAsia="黑体" w:cstheme="majorBidi"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4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8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irst Paragraph"/>
    <w:basedOn w:val="4"/>
    <w:next w:val="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565</Words>
  <Characters>611</Characters>
  <Lines>0</Lines>
  <Paragraphs>0</Paragraphs>
  <TotalTime>0</TotalTime>
  <ScaleCrop>false</ScaleCrop>
  <LinksUpToDate>false</LinksUpToDate>
  <CharactersWithSpaces>619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董鹰</cp:lastModifiedBy>
  <dcterms:modified xsi:type="dcterms:W3CDTF">2026-06-03T06:40:42Z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1DB605563D084D318B657BF6CB8DFA41_12</vt:lpwstr>
  </property>
  <property fmtid="{D5CDD505-2E9C-101B-9397-08002B2CF9AE}" pid="4" name="KSOTemplateDocerSaveRecord">
    <vt:lpwstr>eyJoZGlkIjoiNTZkNmYxMmY5NGQxYWMwODBkOWZlNjdhMDA2MTQ3OTYiLCJ1c2VySWQiOiIxNzYzMTQzMTMxIn0=</vt:lpwstr>
  </property>
</Properties>
</file>