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rPr>
          <w:rFonts w:ascii="黑体" w:hAnsi="黑体" w:eastAsia="黑体"/>
          <w:b/>
          <w:sz w:val="36"/>
        </w:rPr>
        <w:t>行一二部工作日报</w:t>
      </w:r>
    </w:p>
    <w:p>
      <w:pPr>
        <w:spacing w:line="360" w:lineRule="auto"/>
      </w:pPr>
      <w:r>
        <w:rPr>
          <w:rFonts w:ascii="仿宋_GB2312" w:hAnsi="仿宋_GB2312" w:eastAsia="仿宋_GB2312"/>
          <w:b w:val="0"/>
          <w:sz w:val="22"/>
        </w:rPr>
        <w:t>2026年7月31日　覆盖周期：2026年7月27日至7月31日</w:t>
      </w:r>
    </w:p>
    <w:tbl>
      <w:tblPr>
        <w:tblW w:type="auto" w:w="0"/>
        <w:jc w:val="center"/>
        <w:tblLayout w:type="fixed"/>
        <w:tblLook w:firstColumn="1" w:firstRow="1" w:lastColumn="0" w:lastRow="0" w:noHBand="0" w:noVBand="1" w:val="04A0"/>
      </w:tblPr>
      <w:tblGrid>
        <w:gridCol w:w="2462"/>
        <w:gridCol w:w="2462"/>
        <w:gridCol w:w="2462"/>
        <w:gridCol w:w="2462"/>
      </w:tblGrid>
      <w:tr>
        <w:tc>
          <w:tcPr>
            <w:tcW w:type="dxa" w:w="2268"/>
            <w:vAlign w:val="center"/>
            <w:shd w:fill="1F4E78"/>
          </w:tcPr>
          <w:p>
            <w:pPr>
              <w:spacing w:after="0"/>
              <w:ind w:firstLine="0"/>
              <w:jc w:val="center"/>
            </w:pPr>
            <w:r>
              <w:rPr>
                <w:rFonts w:ascii="微软雅黑" w:hAnsi="微软雅黑" w:eastAsia="微软雅黑"/>
                <w:b w:val="0"/>
                <w:color w:val="FFFFFF"/>
                <w:sz w:val="18"/>
              </w:rPr>
              <w:t>应填写</w:t>
              <w:br/>
            </w:r>
            <w:r>
              <w:rPr>
                <w:rFonts w:ascii="宋体" w:hAnsi="宋体" w:eastAsia="宋体"/>
                <w:b/>
                <w:color w:val="FFFFFF"/>
                <w:sz w:val="32"/>
              </w:rPr>
              <w:t>90</w:t>
            </w:r>
          </w:p>
        </w:tc>
        <w:tc>
          <w:tcPr>
            <w:tcW w:type="dxa" w:w="2268"/>
            <w:vAlign w:val="center"/>
            <w:shd w:fill="1F4E78"/>
          </w:tcPr>
          <w:p>
            <w:pPr>
              <w:spacing w:after="0"/>
              <w:ind w:firstLine="0"/>
              <w:jc w:val="center"/>
            </w:pPr>
            <w:r>
              <w:rPr>
                <w:rFonts w:ascii="微软雅黑" w:hAnsi="微软雅黑" w:eastAsia="微软雅黑"/>
                <w:b w:val="0"/>
                <w:color w:val="FFFFFF"/>
                <w:sz w:val="18"/>
              </w:rPr>
              <w:t>17:30已填</w:t>
              <w:br/>
            </w:r>
            <w:r>
              <w:rPr>
                <w:rFonts w:ascii="宋体" w:hAnsi="宋体" w:eastAsia="宋体"/>
                <w:b/>
                <w:color w:val="FFFFFF"/>
                <w:sz w:val="32"/>
              </w:rPr>
              <w:t>88</w:t>
            </w:r>
          </w:p>
        </w:tc>
        <w:tc>
          <w:tcPr>
            <w:tcW w:type="dxa" w:w="2268"/>
            <w:vAlign w:val="center"/>
            <w:shd w:fill="1F4E78"/>
          </w:tcPr>
          <w:p>
            <w:pPr>
              <w:spacing w:after="0"/>
              <w:ind w:firstLine="0"/>
              <w:jc w:val="center"/>
            </w:pPr>
            <w:r>
              <w:rPr>
                <w:rFonts w:ascii="微软雅黑" w:hAnsi="微软雅黑" w:eastAsia="微软雅黑"/>
                <w:b w:val="0"/>
                <w:color w:val="FFFFFF"/>
                <w:sz w:val="18"/>
              </w:rPr>
              <w:t>22:00已填</w:t>
              <w:br/>
            </w:r>
            <w:r>
              <w:rPr>
                <w:rFonts w:ascii="宋体" w:hAnsi="宋体" w:eastAsia="宋体"/>
                <w:b/>
                <w:color w:val="FFFFFF"/>
                <w:sz w:val="32"/>
              </w:rPr>
              <w:t>88</w:t>
            </w:r>
          </w:p>
        </w:tc>
        <w:tc>
          <w:tcPr>
            <w:tcW w:type="dxa" w:w="2268"/>
            <w:vAlign w:val="center"/>
            <w:shd w:fill="1F4E78"/>
          </w:tcPr>
          <w:p>
            <w:pPr>
              <w:spacing w:after="0"/>
              <w:ind w:firstLine="0"/>
              <w:jc w:val="center"/>
            </w:pPr>
            <w:r>
              <w:rPr>
                <w:rFonts w:ascii="微软雅黑" w:hAnsi="微软雅黑" w:eastAsia="微软雅黑"/>
                <w:b w:val="0"/>
                <w:color w:val="FFFFFF"/>
                <w:sz w:val="18"/>
              </w:rPr>
              <w:t>请假</w:t>
              <w:br/>
            </w:r>
            <w:r>
              <w:rPr>
                <w:rFonts w:ascii="宋体" w:hAnsi="宋体" w:eastAsia="宋体"/>
                <w:b/>
                <w:color w:val="FFFFFF"/>
                <w:sz w:val="32"/>
              </w:rPr>
              <w:t>5</w:t>
            </w:r>
          </w:p>
        </w:tc>
      </w:tr>
      <w:tr>
        <w:tc>
          <w:tcPr>
            <w:tcW w:type="dxa" w:w="2268"/>
            <w:vAlign w:val="center"/>
            <w:shd w:fill="1F4E78"/>
          </w:tcPr>
          <w:p>
            <w:pPr>
              <w:spacing w:after="0"/>
              <w:ind w:firstLine="0"/>
              <w:jc w:val="center"/>
            </w:pPr>
            <w:r>
              <w:rPr>
                <w:rFonts w:ascii="微软雅黑" w:hAnsi="微软雅黑" w:eastAsia="微软雅黑"/>
                <w:b w:val="0"/>
                <w:color w:val="FFFFFF"/>
                <w:sz w:val="18"/>
              </w:rPr>
              <w:t>未填写</w:t>
              <w:br/>
            </w:r>
            <w:r>
              <w:rPr>
                <w:rFonts w:ascii="宋体" w:hAnsi="宋体" w:eastAsia="宋体"/>
                <w:b/>
                <w:color w:val="FFFFFF"/>
                <w:sz w:val="32"/>
              </w:rPr>
              <w:t>2</w:t>
            </w:r>
          </w:p>
        </w:tc>
        <w:tc>
          <w:tcPr>
            <w:tcW w:type="dxa" w:w="2268"/>
            <w:vAlign w:val="center"/>
            <w:shd w:fill="1F4E78"/>
          </w:tcPr>
          <w:p>
            <w:pPr>
              <w:spacing w:after="0"/>
              <w:ind w:firstLine="0"/>
              <w:jc w:val="center"/>
            </w:pPr>
            <w:r>
              <w:rPr>
                <w:rFonts w:ascii="微软雅黑" w:hAnsi="微软雅黑" w:eastAsia="微软雅黑"/>
                <w:b w:val="0"/>
                <w:color w:val="FFFFFF"/>
                <w:sz w:val="18"/>
              </w:rPr>
              <w:t>有效事项</w:t>
              <w:br/>
            </w:r>
            <w:r>
              <w:rPr>
                <w:rFonts w:ascii="宋体" w:hAnsi="宋体" w:eastAsia="宋体"/>
                <w:b/>
                <w:color w:val="FFFFFF"/>
                <w:sz w:val="32"/>
              </w:rPr>
              <w:t>210</w:t>
            </w:r>
          </w:p>
        </w:tc>
        <w:tc>
          <w:tcPr>
            <w:tcW w:type="dxa" w:w="2268"/>
            <w:vAlign w:val="center"/>
            <w:shd w:fill="1F4E78"/>
          </w:tcPr>
          <w:p>
            <w:pPr>
              <w:spacing w:after="0"/>
              <w:ind w:firstLine="0"/>
              <w:jc w:val="center"/>
            </w:pPr>
            <w:r>
              <w:rPr>
                <w:rFonts w:ascii="微软雅黑" w:hAnsi="微软雅黑" w:eastAsia="微软雅黑"/>
                <w:b w:val="0"/>
                <w:color w:val="FFFFFF"/>
                <w:sz w:val="18"/>
              </w:rPr>
              <w:t>完成事项</w:t>
              <w:br/>
            </w:r>
            <w:r>
              <w:rPr>
                <w:rFonts w:ascii="宋体" w:hAnsi="宋体" w:eastAsia="宋体"/>
                <w:b/>
                <w:color w:val="FFFFFF"/>
                <w:sz w:val="32"/>
              </w:rPr>
              <w:t>20</w:t>
            </w:r>
          </w:p>
        </w:tc>
        <w:tc>
          <w:tcPr>
            <w:tcW w:type="dxa" w:w="2268"/>
            <w:vAlign w:val="center"/>
            <w:shd w:fill="1F4E78"/>
          </w:tcPr>
          <w:p>
            <w:pPr>
              <w:spacing w:after="0"/>
              <w:ind w:firstLine="0"/>
              <w:jc w:val="center"/>
            </w:pPr>
            <w:r>
              <w:rPr>
                <w:rFonts w:ascii="微软雅黑" w:hAnsi="微软雅黑" w:eastAsia="微软雅黑"/>
                <w:b w:val="0"/>
                <w:color w:val="FFFFFF"/>
                <w:sz w:val="18"/>
              </w:rPr>
              <w:t>阻塞事项</w:t>
              <w:br/>
            </w:r>
            <w:r>
              <w:rPr>
                <w:rFonts w:ascii="宋体" w:hAnsi="宋体" w:eastAsia="宋体"/>
                <w:b/>
                <w:color w:val="FFFFFF"/>
                <w:sz w:val="32"/>
              </w:rPr>
              <w:t>23</w:t>
            </w:r>
          </w:p>
        </w:tc>
      </w:tr>
    </w:tbl>
    <w:p>
      <w:pPr>
        <w:spacing w:after="0"/>
      </w:pPr>
    </w:p>
    <w:p>
      <w:pPr>
        <w:pStyle w:val="Heading1"/>
        <w:ind w:firstLine="0"/>
      </w:pPr>
      <w:r>
        <w:rPr>
          <w:rFonts w:ascii="黑体" w:hAnsi="黑体" w:eastAsia="黑体"/>
          <w:b w:val="0"/>
          <w:sz w:val="30"/>
        </w:rPr>
        <w:t>一、总体概况</w:t>
      </w:r>
    </w:p>
    <w:p>
      <w:r>
        <w:rPr>
          <w:rFonts w:ascii="仿宋_GB2312" w:hAnsi="仿宋_GB2312" w:eastAsia="仿宋_GB2312"/>
          <w:b w:val="0"/>
          <w:i w:val="0"/>
          <w:sz w:val="22"/>
        </w:rPr>
        <w:t>基于2026-07-27至07-31日报数据，团队整体运转平稳，88人17:30前提交，填报率97.78%，5人全天请假（周菁、陈苏、刘茜、杨瑞、王海娜），2人日报缺失（王达伟、吴鹏）。在管正式项目4个，其中疾控AI项目存在明确阻塞记录、军总运维项目仅7-31出现动态、连云港国资一张网项目与江苏省数据局12345三期项目在窗口后段无日报动态需核验；商务厅网络安全设备项目、省港口集团专线项目等仍在售前/标书阶段持续推进。</w:t>
      </w:r>
    </w:p>
    <w:p>
      <w:pPr>
        <w:pStyle w:val="Heading1"/>
        <w:ind w:firstLine="0"/>
      </w:pPr>
      <w:r>
        <w:rPr>
          <w:rFonts w:ascii="黑体" w:hAnsi="黑体" w:eastAsia="黑体"/>
          <w:b w:val="0"/>
          <w:sz w:val="30"/>
        </w:rPr>
        <w:t>二、填报与出勤情况</w:t>
      </w:r>
    </w:p>
    <w:p>
      <w:pPr>
        <w:ind w:left="420" w:hanging="198"/>
      </w:pPr>
      <w:r>
        <w:rPr>
          <w:rFonts w:ascii="仿宋_GB2312" w:hAnsi="仿宋_GB2312" w:eastAsia="仿宋_GB2312"/>
          <w:b w:val="0"/>
          <w:sz w:val="22"/>
        </w:rPr>
        <w:t>1. 应填写人数：90人。</w:t>
      </w:r>
    </w:p>
    <w:p>
      <w:pPr>
        <w:ind w:left="420" w:hanging="198"/>
      </w:pPr>
      <w:r>
        <w:rPr>
          <w:rFonts w:ascii="仿宋_GB2312" w:hAnsi="仿宋_GB2312" w:eastAsia="仿宋_GB2312"/>
          <w:b w:val="0"/>
          <w:sz w:val="22"/>
        </w:rPr>
        <w:t>2. 截至17:30：已填写88人，填写率97.78%。</w:t>
      </w:r>
    </w:p>
    <w:p>
      <w:pPr>
        <w:ind w:left="420" w:hanging="198"/>
      </w:pPr>
      <w:r>
        <w:rPr>
          <w:rFonts w:ascii="仿宋_GB2312" w:hAnsi="仿宋_GB2312" w:eastAsia="仿宋_GB2312"/>
          <w:b w:val="0"/>
          <w:sz w:val="22"/>
        </w:rPr>
        <w:t>3. 截至22:00：已填写88人，填写率97.78%。</w:t>
      </w:r>
    </w:p>
    <w:p>
      <w:pPr>
        <w:ind w:left="420" w:hanging="198"/>
      </w:pPr>
      <w:r>
        <w:rPr>
          <w:rFonts w:ascii="仿宋_GB2312" w:hAnsi="仿宋_GB2312" w:eastAsia="仿宋_GB2312"/>
          <w:b w:val="0"/>
          <w:sz w:val="22"/>
        </w:rPr>
        <w:t>4. 未填写人员：王达伟、吴鹏。</w:t>
      </w:r>
    </w:p>
    <w:p>
      <w:pPr>
        <w:ind w:left="420" w:hanging="198"/>
      </w:pPr>
      <w:r>
        <w:rPr>
          <w:rFonts w:ascii="仿宋_GB2312" w:hAnsi="仿宋_GB2312" w:eastAsia="仿宋_GB2312"/>
          <w:b w:val="0"/>
          <w:sz w:val="22"/>
        </w:rPr>
        <w:t>5. 全天请假人员：周菁、陈苏、刘茜、杨瑞、王海娜。</w:t>
      </w:r>
    </w:p>
    <w:p>
      <w:pPr>
        <w:ind w:left="420" w:hanging="198"/>
      </w:pPr>
      <w:r>
        <w:rPr>
          <w:rFonts w:ascii="仿宋_GB2312" w:hAnsi="仿宋_GB2312" w:eastAsia="仿宋_GB2312"/>
          <w:b w:val="0"/>
          <w:sz w:val="22"/>
        </w:rPr>
        <w:t>6. 半天请假人员：无。</w:t>
      </w:r>
    </w:p>
    <w:p>
      <w:pPr>
        <w:ind w:left="420" w:hanging="198"/>
      </w:pPr>
      <w:r>
        <w:rPr>
          <w:rFonts w:ascii="仿宋_GB2312" w:hAnsi="仿宋_GB2312" w:eastAsia="仿宋_GB2312"/>
          <w:b w:val="0"/>
          <w:sz w:val="22"/>
        </w:rPr>
        <w:t>7. 待核验人员：无。</w:t>
      </w:r>
    </w:p>
    <w:p>
      <w:pPr>
        <w:pStyle w:val="Heading1"/>
        <w:ind w:firstLine="0"/>
      </w:pPr>
      <w:r>
        <w:rPr>
          <w:rFonts w:ascii="黑体" w:hAnsi="黑体" w:eastAsia="黑体"/>
          <w:b w:val="0"/>
          <w:sz w:val="30"/>
        </w:rPr>
        <w:t>三、人员效能分析</w:t>
      </w:r>
    </w:p>
    <w:p>
      <w:r>
        <w:rPr>
          <w:rFonts w:ascii="仿宋_GB2312" w:hAnsi="仿宋_GB2312" w:eastAsia="仿宋_GB2312"/>
          <w:b w:val="0"/>
          <w:i w:val="0"/>
          <w:sz w:val="22"/>
        </w:rPr>
        <w:t>当日纳入88名人员、210项有效事项，其中完成20项、进行中167项、阻塞23项。以下结合具体项目、动作、产出和协同情况进行观察，不以事项数量直接评价绩效。</w:t>
      </w:r>
    </w:p>
    <w:p>
      <w:pPr>
        <w:ind w:left="420" w:hanging="198"/>
      </w:pPr>
      <w:r>
        <w:rPr>
          <w:rFonts w:ascii="仿宋_GB2312" w:hAnsi="仿宋_GB2312" w:eastAsia="仿宋_GB2312"/>
          <w:b w:val="0"/>
          <w:sz w:val="22"/>
        </w:rPr>
        <w:t>1. 王帆在商务厅网络安全设备项目主导标书复审与多家后向厂家沟通，并联动国家统计局四农普项目重招比对、应急厅运维招标文件修改方案讨论，跨多个售前项目并行推进，沟通与材料组织动作密集。</w:t>
      </w:r>
    </w:p>
    <w:p>
      <w:pPr>
        <w:ind w:left="420" w:hanging="198"/>
      </w:pPr>
      <w:r>
        <w:rPr>
          <w:rFonts w:ascii="仿宋_GB2312" w:hAnsi="仿宋_GB2312" w:eastAsia="仿宋_GB2312"/>
          <w:b w:val="0"/>
          <w:sz w:val="22"/>
        </w:rPr>
        <w:t>2. 薛鸿毅全天集中办公与战客行业室经理过江苏省港口集团专线项目两个标段投标文件，确定报价并完成技术方案修改与最终版上传，是该项目收口的主要执行人。</w:t>
      </w:r>
    </w:p>
    <w:p>
      <w:pPr>
        <w:ind w:left="420" w:hanging="198"/>
      </w:pPr>
      <w:r>
        <w:rPr>
          <w:rFonts w:ascii="仿宋_GB2312" w:hAnsi="仿宋_GB2312" w:eastAsia="仿宋_GB2312"/>
          <w:b w:val="0"/>
          <w:sz w:val="22"/>
        </w:rPr>
        <w:t>3. 黄思华7-31统筹省中医院运营管理/数据中心析标与寻源、军总运维踏勘协调及省人民无人机项目标书核对，跨多条售前线索并主导多任务推进，但需关注其同时关联的疾控AI项目出现的阻塞信号。</w:t>
      </w:r>
    </w:p>
    <w:p>
      <w:pPr>
        <w:ind w:left="420" w:hanging="198"/>
      </w:pPr>
      <w:r>
        <w:rPr>
          <w:rFonts w:ascii="仿宋_GB2312" w:hAnsi="仿宋_GB2312" w:eastAsia="仿宋_GB2312"/>
          <w:b w:val="0"/>
          <w:sz w:val="22"/>
        </w:rPr>
        <w:t>4. 曹雯莉作为疾控AI项目协同人员参与项目例会与滞后系统补救沟通，并在内部专项推进算力资源申报与麒麟商城生态对接，存在跨正式项目与内部专项的双线工作量，需关注其在疾控AI项目的阻塞状态。</w:t>
      </w:r>
    </w:p>
    <w:p>
      <w:pPr>
        <w:ind w:left="420" w:hanging="198"/>
      </w:pPr>
      <w:r>
        <w:rPr>
          <w:rFonts w:ascii="仿宋_GB2312" w:hAnsi="仿宋_GB2312" w:eastAsia="仿宋_GB2312"/>
          <w:b w:val="0"/>
          <w:sz w:val="22"/>
        </w:rPr>
        <w:t>5. 杨杨在窗口内主导省高院执行局平台项目调研方案编制、痛点与提纲细化，并联动开展月度例会与物联网厂商方案对接，是该交付阶段方案输出的核心责任人。</w:t>
      </w:r>
    </w:p>
    <w:p>
      <w:pPr>
        <w:pStyle w:val="Heading1"/>
        <w:ind w:firstLine="0"/>
      </w:pPr>
      <w:r>
        <w:rPr>
          <w:rFonts w:ascii="黑体" w:hAnsi="黑体" w:eastAsia="黑体"/>
          <w:b w:val="0"/>
          <w:sz w:val="30"/>
        </w:rPr>
        <w:t>四、项目连续性分析</w:t>
      </w:r>
    </w:p>
    <w:p>
      <w:pPr>
        <w:ind w:left="420" w:hanging="198"/>
      </w:pPr>
      <w:r>
        <w:rPr>
          <w:rFonts w:ascii="仿宋_GB2312" w:hAnsi="仿宋_GB2312" w:eastAsia="仿宋_GB2312"/>
          <w:b w:val="0"/>
          <w:sz w:val="22"/>
        </w:rPr>
        <w:t>1. 商务厅网络安全设备项目由王帆、田金川持续推进，覆盖标书审核、参数核对、会审与多家后向厂家授权函收集，5个工作日均有日报动作，属于持续在跟的售前项目。</w:t>
      </w:r>
    </w:p>
    <w:p>
      <w:pPr>
        <w:ind w:left="420" w:hanging="198"/>
      </w:pPr>
      <w:r>
        <w:rPr>
          <w:rFonts w:ascii="仿宋_GB2312" w:hAnsi="仿宋_GB2312" w:eastAsia="仿宋_GB2312"/>
          <w:b w:val="0"/>
          <w:sz w:val="22"/>
        </w:rPr>
        <w:t>2. 江苏省港口集团业务网络专线项目由徐剑宏、薛鸿毅在7-27至7-31连续推进技术方案编写、案例增补、报价确定与最终版定稿上传，标书完成度持续提升。</w:t>
      </w:r>
    </w:p>
    <w:p>
      <w:pPr>
        <w:ind w:left="420" w:hanging="198"/>
      </w:pPr>
      <w:r>
        <w:rPr>
          <w:rFonts w:ascii="仿宋_GB2312" w:hAnsi="仿宋_GB2312" w:eastAsia="仿宋_GB2312"/>
          <w:b w:val="0"/>
          <w:sz w:val="22"/>
        </w:rPr>
        <w:t>3. 江苏省数据局12345三期项目在7-27与7-28有投标支撑与标书评审动作后，窗口后段未见日报动态，属于窗口内信息中断候选，需结合项目维护状态人工核验。</w:t>
      </w:r>
    </w:p>
    <w:p>
      <w:pPr>
        <w:ind w:left="420" w:hanging="198"/>
      </w:pPr>
      <w:r>
        <w:rPr>
          <w:rFonts w:ascii="仿宋_GB2312" w:hAnsi="仿宋_GB2312" w:eastAsia="仿宋_GB2312"/>
          <w:b w:val="0"/>
          <w:sz w:val="22"/>
        </w:rPr>
        <w:t>4. 连云港国资一张网项目仅在7-28至7-30由肖明独立输出投资子系统与数据底座支撑，7-31未见日报动态，需关注项目连续性与备份人员安排。</w:t>
      </w:r>
    </w:p>
    <w:p>
      <w:pPr>
        <w:ind w:left="420" w:hanging="198"/>
      </w:pPr>
      <w:r>
        <w:rPr>
          <w:rFonts w:ascii="仿宋_GB2312" w:hAnsi="仿宋_GB2312" w:eastAsia="仿宋_GB2312"/>
          <w:b w:val="0"/>
          <w:sz w:val="22"/>
        </w:rPr>
        <w:t>5. 江苏省医保五期项目在7-28、7-29有设备清单核对与后向沟通动态，7-30起未出现日报动作，处于窗口内信息中断候选，需结合项目维护状态人工核验。</w:t>
      </w:r>
    </w:p>
    <w:p>
      <w:r>
        <w:rPr>
          <w:rFonts w:ascii="仿宋_GB2312" w:hAnsi="仿宋_GB2312" w:eastAsia="仿宋_GB2312"/>
          <w:b w:val="0"/>
          <w:i w:val="0"/>
          <w:sz w:val="22"/>
        </w:rPr>
        <w:t>当日项目补充：</w:t>
      </w:r>
    </w:p>
    <w:p>
      <w:pPr>
        <w:ind w:left="420" w:hanging="198"/>
      </w:pPr>
      <w:r>
        <w:rPr>
          <w:rFonts w:ascii="仿宋_GB2312" w:hAnsi="仿宋_GB2312" w:eastAsia="仿宋_GB2312"/>
          <w:b w:val="0"/>
          <w:sz w:val="22"/>
        </w:rPr>
        <w:t>1. 军总运维项目，负责人黄思华：当前状态/阶段为售后运维中/运维保障；当日主导黄思华，协同无；形成动态：上午：1)省中医院运营管理项目析标、后向沟通</w:t>
        <w:br/>
        <w:t>2）省中医院数据中心项目析标、后向寻源</w:t>
        <w:br/>
        <w:t>3）军总运维项目踏勘事项协调</w:t>
        <w:br/>
        <w:t>下午：1）省人民无人机项目，招标文件核对，评分标准核对</w:t>
        <w:br/>
        <w:t>2）军总投标资质沟通；阻塞情况：无。</w:t>
      </w:r>
    </w:p>
    <w:p>
      <w:pPr>
        <w:ind w:left="420" w:hanging="198"/>
      </w:pPr>
      <w:r>
        <w:rPr>
          <w:rFonts w:ascii="仿宋_GB2312" w:hAnsi="仿宋_GB2312" w:eastAsia="仿宋_GB2312"/>
          <w:b w:val="0"/>
          <w:sz w:val="22"/>
        </w:rPr>
        <w:t>2. 省高院执行局平台项目，负责人杨杨：当前状态/阶段为交付推进中/实施阶段；当日主导杨杨，协同无；形成动态：上午：推进省高院执行局平台调研方案编制工作，结合执行业务场景明确调研目标、调研对象与实施流程，梳理平台现存痛点、业务需求清单，细化走访安排、调研提纲，持续调整方案架构，完善各项实施细则，为后续实地调研落地筑牢基础。；阻塞情况：无。</w:t>
      </w:r>
    </w:p>
    <w:p>
      <w:pPr>
        <w:pStyle w:val="Heading1"/>
        <w:ind w:firstLine="0"/>
      </w:pPr>
      <w:r>
        <w:rPr>
          <w:rFonts w:ascii="黑体" w:hAnsi="黑体" w:eastAsia="黑体"/>
          <w:b w:val="0"/>
          <w:sz w:val="30"/>
        </w:rPr>
        <w:t>五、项目关联性及协同分析</w:t>
      </w:r>
    </w:p>
    <w:p>
      <w:pPr>
        <w:ind w:left="420" w:hanging="198"/>
      </w:pPr>
      <w:r>
        <w:rPr>
          <w:rFonts w:ascii="仿宋_GB2312" w:hAnsi="仿宋_GB2312" w:eastAsia="仿宋_GB2312"/>
          <w:b w:val="0"/>
          <w:sz w:val="22"/>
        </w:rPr>
        <w:t>1. 商务厅网络安全设备项目由王帆与田金川共同参与，王帆主导标书审核与多家后向沟通，田金川主导厂商授权函跟进与会审，是同项目双人协同的售前典型。</w:t>
      </w:r>
    </w:p>
    <w:p>
      <w:pPr>
        <w:ind w:left="420" w:hanging="198"/>
      </w:pPr>
      <w:r>
        <w:rPr>
          <w:rFonts w:ascii="仿宋_GB2312" w:hAnsi="仿宋_GB2312" w:eastAsia="仿宋_GB2312"/>
          <w:b w:val="0"/>
          <w:sz w:val="22"/>
        </w:rPr>
        <w:t>2. 江苏省港口集团业务网络专线项目由徐剑宏与薛鸿毅共同推进，徐剑宏聚焦标书框架与修改，薛鸿毅聚焦定稿与上传，呈现明显的主导-配合分工。</w:t>
      </w:r>
    </w:p>
    <w:p>
      <w:pPr>
        <w:ind w:left="420" w:hanging="198"/>
      </w:pPr>
      <w:r>
        <w:rPr>
          <w:rFonts w:ascii="仿宋_GB2312" w:hAnsi="仿宋_GB2312" w:eastAsia="仿宋_GB2312"/>
          <w:b w:val="0"/>
          <w:sz w:val="22"/>
        </w:rPr>
        <w:t>3. 疾控AI项目由黄思华与曹雯莉共同参与，黄思华主导需求分析与汇报材料支撑，曹雯莉主导例会组织与滞后系统补救沟通，呈现协同交付特征。</w:t>
      </w:r>
    </w:p>
    <w:p>
      <w:pPr>
        <w:ind w:left="420" w:hanging="198"/>
      </w:pPr>
      <w:r>
        <w:rPr>
          <w:rFonts w:ascii="仿宋_GB2312" w:hAnsi="仿宋_GB2312" w:eastAsia="仿宋_GB2312"/>
          <w:b w:val="0"/>
          <w:sz w:val="22"/>
        </w:rPr>
        <w:t>4. 江苏省医保五期项目由黄思华与周菁共同参与，黄思华主导设备清单核对与汇报方案对接，周菁主导后向采购沟通与参数核对，但7-30起两人均无日报动态，需关注协同中断风险。</w:t>
      </w:r>
    </w:p>
    <w:p>
      <w:pPr>
        <w:ind w:left="420" w:hanging="198"/>
      </w:pPr>
      <w:r>
        <w:rPr>
          <w:rFonts w:ascii="仿宋_GB2312" w:hAnsi="仿宋_GB2312" w:eastAsia="仿宋_GB2312"/>
          <w:b w:val="0"/>
          <w:sz w:val="22"/>
        </w:rPr>
        <w:t>5. 黄思华在窗口内同时承担省中医院、军总运维、疾控AI、省人民无人机等多个项目的析标与协调，是一人多项目特征的典型人员，需关注跨项目精力分配。</w:t>
      </w:r>
    </w:p>
    <w:p>
      <w:pPr>
        <w:pStyle w:val="Heading1"/>
        <w:ind w:firstLine="0"/>
      </w:pPr>
      <w:r>
        <w:rPr>
          <w:rFonts w:ascii="黑体" w:hAnsi="黑体" w:eastAsia="黑体"/>
          <w:b w:val="0"/>
          <w:sz w:val="30"/>
        </w:rPr>
        <w:t>六、风险评估</w:t>
      </w:r>
    </w:p>
    <w:p>
      <w:pPr>
        <w:ind w:left="420" w:hanging="198"/>
      </w:pPr>
      <w:r>
        <w:rPr>
          <w:rFonts w:ascii="仿宋_GB2312" w:hAnsi="仿宋_GB2312" w:eastAsia="仿宋_GB2312"/>
          <w:b w:val="0"/>
          <w:sz w:val="22"/>
        </w:rPr>
        <w:t>1. 疾控AI项目存在明确阻塞记录：曹雯莉在参加疾控中心项目周例会中识别系统进度滞后问题，并已与厂家召开专项沟通会商讨补救，需持续跟踪卡点原因与补救方案落地。</w:t>
      </w:r>
    </w:p>
    <w:p>
      <w:pPr>
        <w:ind w:left="420" w:hanging="198"/>
      </w:pPr>
      <w:r>
        <w:rPr>
          <w:rFonts w:ascii="仿宋_GB2312" w:hAnsi="仿宋_GB2312" w:eastAsia="仿宋_GB2312"/>
          <w:b w:val="0"/>
          <w:sz w:val="22"/>
        </w:rPr>
        <w:t>2. 脑机接口研究院综合智控平台项目已超过3个工作日无日报动态（最新动态日7-27），进入超期无动态关注清单，需结合项目维护状态人工核验项目当前进展。</w:t>
      </w:r>
    </w:p>
    <w:p>
      <w:pPr>
        <w:ind w:left="420" w:hanging="198"/>
      </w:pPr>
      <w:r>
        <w:rPr>
          <w:rFonts w:ascii="仿宋_GB2312" w:hAnsi="仿宋_GB2312" w:eastAsia="仿宋_GB2312"/>
          <w:b w:val="0"/>
          <w:sz w:val="22"/>
        </w:rPr>
        <w:t>3. 省海事无纸化会议及智能体项目已超过3个工作日无日报动态（最新动态日7-24），进入超期无动态关注清单，需结合项目维护状态人工核验项目当前进展。</w:t>
      </w:r>
    </w:p>
    <w:p>
      <w:pPr>
        <w:ind w:left="420" w:hanging="198"/>
      </w:pPr>
      <w:r>
        <w:rPr>
          <w:rFonts w:ascii="仿宋_GB2312" w:hAnsi="仿宋_GB2312" w:eastAsia="仿宋_GB2312"/>
          <w:b w:val="0"/>
          <w:sz w:val="22"/>
        </w:rPr>
        <w:t>4. 连云港国资一张网项目在7-30后未见日报动态，连带江苏省医保五期项目、江苏省数据局12345三期项目在窗口后段均出现信息中断候选，需结合项目维护状态核验，避免遗漏关键进展。</w:t>
      </w:r>
    </w:p>
    <w:p>
      <w:pPr>
        <w:ind w:left="420" w:hanging="198"/>
      </w:pPr>
      <w:r>
        <w:rPr>
          <w:rFonts w:ascii="仿宋_GB2312" w:hAnsi="仿宋_GB2312" w:eastAsia="仿宋_GB2312"/>
          <w:b w:val="0"/>
          <w:sz w:val="22"/>
        </w:rPr>
        <w:t>5. 军总运维项目当前仅有7-31黄思华一人的踏勘协调与投标资质沟通动态，连云港国资一张网项目、江苏省数据局12345三期项目、省高院执行局平台项目连续动态均集中在1名人员，需确认备份与协同安排。</w:t>
      </w:r>
    </w:p>
    <w:p>
      <w:pPr>
        <w:pStyle w:val="Heading1"/>
        <w:ind w:firstLine="0"/>
      </w:pPr>
      <w:r>
        <w:rPr>
          <w:rFonts w:ascii="黑体" w:hAnsi="黑体" w:eastAsia="黑体"/>
          <w:b w:val="0"/>
          <w:sz w:val="30"/>
        </w:rPr>
        <w:t>七、管理建议</w:t>
      </w:r>
    </w:p>
    <w:p>
      <w:pPr>
        <w:ind w:left="420" w:hanging="198"/>
      </w:pPr>
      <w:r>
        <w:rPr>
          <w:rFonts w:ascii="仿宋_GB2312" w:hAnsi="仿宋_GB2312" w:eastAsia="仿宋_GB2312"/>
          <w:b w:val="0"/>
          <w:sz w:val="22"/>
        </w:rPr>
        <w:t>1. 次日应跟进疾控AI项目滞后系统补救方案落地，明确卡点原因、厂家职责与里程碑恢复时间，并向战客中心同步进展。</w:t>
      </w:r>
    </w:p>
    <w:p>
      <w:pPr>
        <w:ind w:left="420" w:hanging="198"/>
      </w:pPr>
      <w:r>
        <w:rPr>
          <w:rFonts w:ascii="仿宋_GB2312" w:hAnsi="仿宋_GB2312" w:eastAsia="仿宋_GB2312"/>
          <w:b w:val="0"/>
          <w:sz w:val="22"/>
        </w:rPr>
        <w:t>2. 次日应核验连云港国资一张网、江苏省医保五期、江苏省数据局12345三期等在窗口后段无日报动态的正式项目当前进展，确认是否仍按计划推进或需补充日报。</w:t>
      </w:r>
    </w:p>
    <w:p>
      <w:pPr>
        <w:ind w:left="420" w:hanging="198"/>
      </w:pPr>
      <w:r>
        <w:rPr>
          <w:rFonts w:ascii="仿宋_GB2312" w:hAnsi="仿宋_GB2312" w:eastAsia="仿宋_GB2312"/>
          <w:b w:val="0"/>
          <w:sz w:val="22"/>
        </w:rPr>
        <w:t>3. 次日应向日报缺失人员王达伟、吴鹏核实未填原因，提醒17:30前提交；并向全天请假的周菁、陈苏、刘茜、杨瑞、王海娜确认返岗与任务交接。</w:t>
      </w:r>
    </w:p>
    <w:p>
      <w:pPr>
        <w:ind w:left="420" w:hanging="198"/>
      </w:pPr>
      <w:r>
        <w:rPr>
          <w:rFonts w:ascii="仿宋_GB2312" w:hAnsi="仿宋_GB2312" w:eastAsia="仿宋_GB2312"/>
          <w:b w:val="0"/>
          <w:sz w:val="22"/>
        </w:rPr>
        <w:t>4. 次日应对商务厅网络安全设备项目、江苏省港口集团专线项目两家售前项目持续跟进会审意见修改与中标候选人准备，确保报价与技术方案闭环。</w:t>
      </w:r>
    </w:p>
    <w:p>
      <w:pPr>
        <w:ind w:left="420" w:hanging="198"/>
      </w:pPr>
      <w:r>
        <w:rPr>
          <w:rFonts w:ascii="仿宋_GB2312" w:hAnsi="仿宋_GB2312" w:eastAsia="仿宋_GB2312"/>
          <w:b w:val="0"/>
          <w:sz w:val="22"/>
        </w:rPr>
        <w:t>5. 次日应结合脑机接口研究院综合智控平台项目、省海事无纸化会议及智能体项目超期无日报动态，联系项目负责人核验当前进展并补充日报。</w:t>
      </w:r>
    </w:p>
    <w:sectPr w:rsidR="00FC693F" w:rsidRPr="0006063C" w:rsidSect="00034616">
      <w:pgSz w:w="12240" w:h="15840"/>
      <w:pgMar w:top="1195" w:right="1195" w:bottom="1195"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75"/>
    </w:pPr>
    <w:rPr>
      <w:rFonts w:ascii="仿宋_GB2312" w:hAnsi="仿宋_GB2312" w:eastAsia="仿宋_GB23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