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黑体" w:hAnsi="黑体" w:eastAsia="黑体"/>
          <w:b/>
          <w:sz w:val="36"/>
        </w:rPr>
        <w:t>行一二部工作日报</w:t>
      </w:r>
    </w:p>
    <w:p>
      <w:pPr>
        <w:spacing w:line="360" w:lineRule="auto"/>
      </w:pPr>
      <w:r>
        <w:rPr>
          <w:rFonts w:ascii="仿宋_GB2312" w:hAnsi="仿宋_GB2312" w:eastAsia="仿宋_GB2312"/>
          <w:b w:val="0"/>
          <w:sz w:val="22"/>
        </w:rPr>
        <w:t>报告日期：2026-07-31    数据时区：Asia/Shanghai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c>
          <w:tcPr>
            <w:tcW w:type="dxa" w:w="2268"/>
            <w:vAlign w:val="center"/>
            <w:shd w:fill="1F4E78"/>
          </w:tcPr>
          <w:p>
            <w:pPr>
              <w:spacing w:after="0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  <w:t>应填写</w:t>
              <w:br/>
            </w:r>
            <w:r>
              <w:rPr>
                <w:rFonts w:ascii="宋体" w:hAnsi="宋体" w:eastAsia="宋体"/>
                <w:b/>
                <w:color w:val="FFFFFF"/>
                <w:sz w:val="32"/>
              </w:rPr>
              <w:t>90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  <w:t>17:30已填</w:t>
              <w:br/>
            </w:r>
            <w:r>
              <w:rPr>
                <w:rFonts w:ascii="宋体" w:hAnsi="宋体" w:eastAsia="宋体"/>
                <w:b/>
                <w:color w:val="FFFFFF"/>
                <w:sz w:val="32"/>
              </w:rPr>
              <w:t>88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  <w:t>22:00已填</w:t>
              <w:br/>
            </w:r>
            <w:r>
              <w:rPr>
                <w:rFonts w:ascii="宋体" w:hAnsi="宋体" w:eastAsia="宋体"/>
                <w:b/>
                <w:color w:val="FFFFFF"/>
                <w:sz w:val="32"/>
              </w:rPr>
              <w:t>88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  <w:t>请假</w:t>
              <w:br/>
            </w:r>
            <w:r>
              <w:rPr>
                <w:rFonts w:ascii="宋体" w:hAnsi="宋体" w:eastAsia="宋体"/>
                <w:b/>
                <w:color w:val="FFFFFF"/>
                <w:sz w:val="32"/>
              </w:rPr>
              <w:t>5</w:t>
            </w:r>
          </w:p>
        </w:tc>
      </w:tr>
      <w:tr>
        <w:tc>
          <w:tcPr>
            <w:tcW w:type="dxa" w:w="2268"/>
            <w:vAlign w:val="center"/>
            <w:shd w:fill="1F4E78"/>
          </w:tcPr>
          <w:p>
            <w:pPr>
              <w:spacing w:after="0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  <w:t>未填写</w:t>
              <w:br/>
            </w:r>
            <w:r>
              <w:rPr>
                <w:rFonts w:ascii="宋体" w:hAnsi="宋体" w:eastAsia="宋体"/>
                <w:b/>
                <w:color w:val="FFFFFF"/>
                <w:sz w:val="32"/>
              </w:rPr>
              <w:t>2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  <w:t>有效事项</w:t>
              <w:br/>
            </w:r>
            <w:r>
              <w:rPr>
                <w:rFonts w:ascii="宋体" w:hAnsi="宋体" w:eastAsia="宋体"/>
                <w:b/>
                <w:color w:val="FFFFFF"/>
                <w:sz w:val="32"/>
              </w:rPr>
              <w:t>115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  <w:t>完成事项</w:t>
              <w:br/>
            </w:r>
            <w:r>
              <w:rPr>
                <w:rFonts w:ascii="宋体" w:hAnsi="宋体" w:eastAsia="宋体"/>
                <w:b/>
                <w:color w:val="FFFFFF"/>
                <w:sz w:val="32"/>
              </w:rPr>
              <w:t>11</w:t>
            </w:r>
          </w:p>
        </w:tc>
        <w:tc>
          <w:tcPr>
            <w:tcW w:type="dxa" w:w="2268"/>
            <w:vAlign w:val="center"/>
            <w:shd w:fill="1F4E78"/>
          </w:tcPr>
          <w:p>
            <w:pPr>
              <w:spacing w:after="0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FFFFFF"/>
                <w:sz w:val="18"/>
              </w:rPr>
              <w:t>阻塞事项</w:t>
              <w:br/>
            </w:r>
            <w:r>
              <w:rPr>
                <w:rFonts w:ascii="宋体" w:hAnsi="宋体" w:eastAsia="宋体"/>
                <w:b/>
                <w:color w:val="FFFFFF"/>
                <w:sz w:val="32"/>
              </w:rPr>
              <w:t>12</w:t>
            </w:r>
          </w:p>
        </w:tc>
      </w:tr>
    </w:tbl>
    <w:p>
      <w:pPr>
        <w:spacing w:after="0"/>
      </w:pPr>
    </w:p>
    <w:p>
      <w:pPr>
        <w:pStyle w:val="Heading1"/>
        <w:ind w:firstLine="0"/>
      </w:pPr>
      <w:r>
        <w:rPr>
          <w:rFonts w:ascii="黑体" w:hAnsi="黑体" w:eastAsia="黑体"/>
          <w:b w:val="0"/>
          <w:sz w:val="30"/>
        </w:rPr>
        <w:t>一、总体概况</w:t>
      </w:r>
    </w:p>
    <w:p>
      <w:r>
        <w:rPr>
          <w:rFonts w:ascii="仿宋_GB2312" w:hAnsi="仿宋_GB2312" w:eastAsia="仿宋_GB2312"/>
          <w:b w:val="0"/>
          <w:i w:val="0"/>
          <w:sz w:val="22"/>
        </w:rPr>
        <w:t>当日填报总体稳定，项目推进证据完整。</w:t>
      </w:r>
    </w:p>
    <w:p>
      <w:pPr>
        <w:pStyle w:val="Heading1"/>
        <w:ind w:firstLine="0"/>
      </w:pPr>
      <w:r>
        <w:rPr>
          <w:rFonts w:ascii="黑体" w:hAnsi="黑体" w:eastAsia="黑体"/>
          <w:b w:val="0"/>
          <w:sz w:val="30"/>
        </w:rPr>
        <w:t>二、填报与出勤情况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1. 应填写人数：90人。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2. 截至17:30：已填写88人，填写率97.78%。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3. 截至22:00：已填写88人，填写率97.78%。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4. 未填写人员：王达伟、吴鹏。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5. 全天请假人员：周菁、陈苏、刘茜、杨瑞、王海娜。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6. 半天请假人员：无。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7. 待核验人员：无。</w:t>
      </w:r>
    </w:p>
    <w:p>
      <w:pPr>
        <w:pStyle w:val="Heading1"/>
        <w:ind w:firstLine="0"/>
      </w:pPr>
      <w:r>
        <w:rPr>
          <w:rFonts w:ascii="黑体" w:hAnsi="黑体" w:eastAsia="黑体"/>
          <w:b w:val="0"/>
          <w:sz w:val="30"/>
        </w:rPr>
        <w:t>三、人员效能分析</w:t>
      </w:r>
    </w:p>
    <w:p>
      <w:r>
        <w:rPr>
          <w:rFonts w:ascii="仿宋_GB2312" w:hAnsi="仿宋_GB2312" w:eastAsia="仿宋_GB2312"/>
          <w:b w:val="0"/>
          <w:i w:val="0"/>
          <w:sz w:val="22"/>
        </w:rPr>
        <w:t>当日共统计88名人员的有效工作事项，以下列示事项较集中的前10名人员，供管理观察。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1. 测试员工001（无）：当日记录事项2项，其中完成1项、进行中1项、阻塞0项；涉及项目1个，主导1项、协同1项。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2. 测试员工002（无）：当日记录事项2项，其中完成1项、进行中1项、阻塞0项；涉及项目1个，主导0项、协同2项。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3. 测试员工003（无）：当日记录事项2项，其中完成1项、进行中1项、阻塞0项；涉及项目1个，主导0项、协同2项。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4. 测试员工004（无）：当日记录事项2项，其中完成1项、进行中1项、阻塞0项；涉及项目1个，主导0项、协同2项。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5. 测试员工005（无）：当日记录事项2项，其中完成1项、进行中1项、阻塞0项；涉及项目1个，主导0项、协同2项。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6. 测试员工006（无）：当日记录事项2项，其中完成1项、进行中1项、阻塞0项；涉及项目1个，主导0项、协同2项。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7. 测试员工007（无）：当日记录事项2项，其中完成1项、进行中1项、阻塞0项；涉及项目1个，主导0项、协同2项。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8. 测试员工008（无）：当日记录事项2项，其中完成1项、进行中1项、阻塞0项；涉及项目1个，主导0项、协同2项。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9. 测试员工009（无）：当日记录事项2项，其中完成1项、进行中1项、阻塞0项；涉及项目1个，主导0项、协同2项。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10. 测试员工010（无）：当日记录事项2项，其中完成1项、进行中1项、阻塞0项；涉及项目1个，主导0项、协同2项。</w:t>
      </w:r>
    </w:p>
    <w:p>
      <w:r>
        <w:rPr>
          <w:rFonts w:ascii="仿宋_GB2312" w:hAnsi="仿宋_GB2312" w:eastAsia="仿宋_GB2312"/>
          <w:b w:val="0"/>
          <w:i/>
          <w:sz w:val="22"/>
        </w:rPr>
        <w:t>说明：事项数量仅用于观察当日工作结构，不直接等同于绩效高低；请假人员不与全天出勤人员按绝对数量简单比较。</w:t>
      </w:r>
    </w:p>
    <w:p>
      <w:pPr>
        <w:pStyle w:val="Heading1"/>
        <w:ind w:firstLine="0"/>
      </w:pPr>
      <w:r>
        <w:rPr>
          <w:rFonts w:ascii="黑体" w:hAnsi="黑体" w:eastAsia="黑体"/>
          <w:b w:val="0"/>
          <w:sz w:val="30"/>
        </w:rPr>
        <w:t>四、重点项目及协同情况</w:t>
      </w:r>
    </w:p>
    <w:p>
      <w:pPr>
        <w:pStyle w:val="Heading2"/>
        <w:keepNext/>
        <w:ind w:firstLine="0"/>
      </w:pPr>
      <w:r>
        <w:rPr>
          <w:rFonts w:ascii="黑体" w:hAnsi="黑体" w:eastAsia="黑体"/>
          <w:b w:val="0"/>
          <w:sz w:val="26"/>
        </w:rPr>
        <w:t>（一）当日正式项目动态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1. 重点交付项目（负责人：测试员工001）：当前状态/阶段为DELIVERY_IN_PROGRESS/实施；当日主导测试员工001，协同测试员工001、测试员工002、测试员工003、测试员工004、测试员工005、测试员工006、测试员工007、测试员工008、测试员工009、测试员工010、测试员工011、测试员工012、测试员工013、测试员工014、测试员工015、测试员工016、测试员工017、测试员工018、测试员工019、测试员工020、测试员工021、测试员工022、测试员工023、测试员工024、测试员工025、测试员工026、测试员工027、测试员工028、测试员工029、测试员工030、测试员工031、测试员工032、测试员工033、测试员工034、测试员工035、测试员工036、测试员工037、测试员工038、测试员工039、测试员工040、测试员工041、测试员工042、测试员工043、测试员工044、测试员工045、测试员工046、测试员工047、测试员工048、测试员工049、测试员工050、测试员工051、测试员工052、测试员工053、测试员工054、测试员工055、测试员工056、测试员工057、测试员工058、测试员工059、测试员工060、测试员工061、测试员工062、测试员工063、测试员工064、测试员工065、测试员工066、测试员工067、测试员工068、测试员工069、测试员工070、测试员工071、测试员工072、测试员工073、测试员工074、测试员工075、测试员工076、测试员工077、测试员工078、测试员工079、测试员工080、测试员工081、测试员工082、测试员工083、测试员工084、测试员工085、测试员工086、测试员工087、测试员工088；形成动态：重点交付项目持续推进。；阻塞情况：外部反馈待确认。</w:t>
      </w:r>
    </w:p>
    <w:p>
      <w:pPr>
        <w:pStyle w:val="Heading2"/>
        <w:keepNext/>
        <w:ind w:firstLine="0"/>
      </w:pPr>
      <w:r>
        <w:rPr>
          <w:rFonts w:ascii="黑体" w:hAnsi="黑体" w:eastAsia="黑体"/>
          <w:b w:val="0"/>
          <w:sz w:val="26"/>
        </w:rPr>
        <w:t>（二）日报识别待关联项目</w:t>
      </w:r>
    </w:p>
    <w:p>
      <w:r>
        <w:rPr>
          <w:rFonts w:ascii="仿宋_GB2312" w:hAnsi="仿宋_GB2312" w:eastAsia="仿宋_GB2312"/>
          <w:b w:val="0"/>
          <w:i w:val="0"/>
          <w:sz w:val="22"/>
        </w:rPr>
        <w:t>无。</w:t>
      </w:r>
    </w:p>
    <w:p>
      <w:pPr>
        <w:pStyle w:val="Heading2"/>
        <w:keepNext/>
        <w:ind w:firstLine="0"/>
      </w:pPr>
      <w:r>
        <w:rPr>
          <w:rFonts w:ascii="黑体" w:hAnsi="黑体" w:eastAsia="黑体"/>
          <w:b w:val="0"/>
          <w:sz w:val="26"/>
        </w:rPr>
        <w:t>（三）超过3个工作日无动态项目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1. 存量项目甲（负责人：负责人甲）：最近日报动态为2026-07-24，已连续5个工作日无动态，项目维护状态为DELIVERY_IN_PROGRESS，建议核实当前进展。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2. 存量项目乙（负责人：负责人乙）：最近日报动态为2026-07-27，已连续4个工作日无动态，项目维护状态为PRESALES_IN_PROGRESS，建议核实当前进展。</w:t>
      </w:r>
    </w:p>
    <w:p>
      <w:pPr>
        <w:pStyle w:val="Heading1"/>
        <w:ind w:firstLine="0"/>
      </w:pPr>
      <w:r>
        <w:rPr>
          <w:rFonts w:ascii="黑体" w:hAnsi="黑体" w:eastAsia="黑体"/>
          <w:b w:val="0"/>
          <w:sz w:val="30"/>
        </w:rPr>
        <w:t>五、风险问题及协调需求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1. 进度待协调</w:t>
      </w:r>
    </w:p>
    <w:p>
      <w:pPr>
        <w:pStyle w:val="Heading1"/>
        <w:ind w:firstLine="0"/>
      </w:pPr>
      <w:r>
        <w:rPr>
          <w:rFonts w:ascii="黑体" w:hAnsi="黑体" w:eastAsia="黑体"/>
          <w:b w:val="0"/>
          <w:sz w:val="30"/>
        </w:rPr>
        <w:t>六、次工作日管理建议</w:t>
      </w:r>
    </w:p>
    <w:p>
      <w:pPr>
        <w:ind w:left="420" w:hanging="198"/>
      </w:pPr>
      <w:r>
        <w:rPr>
          <w:rFonts w:ascii="仿宋_GB2312" w:hAnsi="仿宋_GB2312" w:eastAsia="仿宋_GB2312"/>
          <w:b w:val="0"/>
          <w:sz w:val="22"/>
        </w:rPr>
        <w:t>1. 跟进阻塞事项并明确反馈时点。</w:t>
      </w:r>
    </w:p>
    <w:sectPr w:rsidR="00FC693F" w:rsidRPr="0006063C" w:rsidSect="00034616">
      <w:pgSz w:w="12240" w:h="15840"/>
      <w:pgMar w:top="1195" w:right="1195" w:bottom="1195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75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