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7.0.0 -->
  <w:body>
    <w:p>
      <w:pPr>
        <w:pStyle w:val="Heading2"/>
        <w:keepNext w:val="0"/>
        <w:spacing w:before="0" w:after="199"/>
        <w:outlineLvl w:val="9"/>
        <w:rPr>
          <w:b/>
          <w:bCs/>
          <w:sz w:val="24"/>
          <w:szCs w:val="24"/>
        </w:rPr>
      </w:pPr>
      <w:r>
        <w:rPr>
          <w:rFonts w:ascii="Arial" w:eastAsia="Arial" w:hAnsi="Arial" w:cs="Arial"/>
          <w:i w:val="0"/>
          <w:iCs w:val="0"/>
        </w:rPr>
        <w:t>Key resources table</w:t>
      </w:r>
    </w:p>
    <w:tbl>
      <w:tblPr>
        <w:tblStyle w:val="table"/>
        <w:tblW w:w="8985" w:type="dxa"/>
        <w:tblInd w:w="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 w:sz="0" w:space="0" w:color="auto"/>
          <w:insideV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3"/>
        <w:gridCol w:w="1317"/>
        <w:gridCol w:w="8914"/>
      </w:tblGrid>
      <w:tr>
        <w:tblPrEx>
          <w:tblW w:w="8985" w:type="dxa"/>
          <w:tblInd w:w="30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center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REAGENT or RESOURCE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center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SOURCE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center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IDENTIFIER</w:t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center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Deposited data</w:t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UCI Molecular Biology Promoter Gene Sequences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UCI Machine Learning Repository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"https://archive.ics.uci.edu/ml/machine-learning-databases/molecular-biology/promoter-gene-sequences/promoters.data"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https://archive.ics.uci.edu/ml/machine-learning-databases/molecular-biology/promoter-gene-sequences/promoters.data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Human non-TATA promoters (Genomic Benchmarks, version 0)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ML-Bioinfo-CEITEC Genomic Benchmarks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"https://github.com/ML-Bioinfo-CEITEC/genomic_benchmarks"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https://github.com/ML-Bioinfo-CEITEC/genomic_benchmarks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Human non-TATA promoters (Hugging Face mirror)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Hugging Face Datasets (simecek)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"https://huggingface.co/datasets/simecek/human_nontata_promoters"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https://huggingface.co/datasets/simecek/human_nontata_promoters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Splice site classification dataset (splice_sites_all)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Dalla-Torre et al.3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"https://huggingface.co/datasets/InstaDeepAI/nucleotide_transformer_downstream_tasks"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https://huggingface.co/datasets/InstaDeepAI/nucleotide_transformer_downstream_tasks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Pretrained DNABERT-2 (117M) genomic language model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br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Zhou et al.2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"https://huggingface.co/zhihan1996/DNABERT-2-117M"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https://huggingface.co/zhihan1996/DNABERT-2-117M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Processed train/validation/test splits (controlled border-aware tasks and strict 3-mer-balanced splice split)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This paper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N/A</w:t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center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Software and algorithms</w:t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Python 3.10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Python Software Foundation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"https://www.python.org/"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https://www.python.org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PyTorch 2.5.1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PyTorch / Meta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"https://pytorch.org/"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https://pytorch.org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Hugging Face Transformers (v4.46+)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Hugging Face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br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"https://github.com/huggingface/transformers"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https://github.com/huggingface/transformers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genomic-benchmarks Python package (v0.0.9)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ML-Bioinfo-CEITEC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begin"/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instrText xml:space="preserve"> HYPERLINK "https://github.com/ML-Bioinfo-CEITEC/genomic_benchmarks" \t "_blank" </w:instrText>
            </w: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fldChar w:fldCharType="separate"/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t>https://github.com/ML-Bioinfo-CEITEC/genomic_benchmarks</w:t>
            </w:r>
            <w:r>
              <w:rPr>
                <w:b w:val="0"/>
                <w:bCs w:val="0"/>
                <w:i w:val="0"/>
                <w:iCs w:val="0"/>
                <w:smallCaps w:val="0"/>
                <w:color w:val="0000EE"/>
                <w:sz w:val="20"/>
                <w:szCs w:val="20"/>
                <w:u w:val="single"/>
              </w:rPr>
              <w:fldChar w:fldCharType="end"/>
            </w:r>
          </w:p>
        </w:tc>
      </w:tr>
      <w:tr>
        <w:tblPrEx>
          <w:tblW w:w="8985" w:type="dxa"/>
          <w:tblInd w:w="30" w:type="dxa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GERM-BO training and evaluation code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This paper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22" w:type="dxa"/>
              <w:left w:w="22" w:type="dxa"/>
              <w:bottom w:w="22" w:type="dxa"/>
              <w:right w:w="22" w:type="dxa"/>
            </w:tcMar>
            <w:vAlign w:val="top"/>
          </w:tcPr>
          <w:p>
            <w:pPr>
              <w:jc w:val="left"/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  <w:sz w:val="20"/>
                <w:szCs w:val="20"/>
              </w:rPr>
              <w:t>N/A</w:t>
            </w:r>
          </w:p>
        </w:tc>
      </w:tr>
    </w:tbl>
    <w:p>
      <w:pPr>
        <w:rPr>
          <w:rFonts w:ascii="Arial" w:eastAsia="Arial" w:hAnsi="Arial" w:cs="Arial"/>
          <w:i w:val="0"/>
          <w:iCs w:val="0"/>
        </w:rPr>
      </w:pP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rFonts w:ascii="Arial" w:eastAsia="Arial" w:hAnsi="Arial" w:cs="Arial"/>
      <w:sz w:val="15"/>
      <w:szCs w:val="15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2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24"/>
      <w:szCs w:val="24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tblPr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112</Words>
  <Characters>1239</Characters>
  <Application>Microsoft Office Word</Application>
  <DocSecurity>0</DocSecurity>
  <Lines>0</Lines>
  <Paragraphs>39</Paragraphs>
  <ScaleCrop>false</ScaleCrop>
  <Company/>
  <LinksUpToDate>false</LinksUpToDate>
  <CharactersWithSpaces>1314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