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i w:val="0"/>
          <w:iCs w:val="0"/>
          <w:caps w:val="0"/>
          <w:color w:val="333333"/>
          <w:spacing w:val="0"/>
          <w:sz w:val="44"/>
          <w:szCs w:val="44"/>
          <w:lang w:val="en-US" w:eastAsia="zh-CN"/>
        </w:rPr>
      </w:pPr>
      <w:r>
        <w:rPr>
          <w:rFonts w:hint="eastAsia" w:ascii="黑体" w:hAnsi="黑体" w:eastAsia="黑体" w:cs="黑体"/>
          <w:b w:val="0"/>
          <w:bCs w:val="0"/>
          <w:i w:val="0"/>
          <w:iCs w:val="0"/>
          <w:caps w:val="0"/>
          <w:color w:val="333333"/>
          <w:spacing w:val="0"/>
          <w:sz w:val="44"/>
          <w:szCs w:val="44"/>
        </w:rPr>
        <w:t>海洋环境</w:t>
      </w:r>
      <w:r>
        <w:rPr>
          <w:rFonts w:hint="eastAsia" w:ascii="黑体" w:hAnsi="黑体" w:eastAsia="黑体" w:cs="黑体"/>
          <w:b w:val="0"/>
          <w:bCs w:val="0"/>
          <w:i w:val="0"/>
          <w:iCs w:val="0"/>
          <w:caps w:val="0"/>
          <w:color w:val="333333"/>
          <w:spacing w:val="0"/>
          <w:sz w:val="44"/>
          <w:szCs w:val="44"/>
          <w:lang w:val="en-US" w:eastAsia="zh-CN"/>
        </w:rPr>
        <w:t>三维</w:t>
      </w:r>
      <w:r>
        <w:rPr>
          <w:rFonts w:hint="eastAsia" w:ascii="黑体" w:hAnsi="黑体" w:eastAsia="黑体" w:cs="黑体"/>
          <w:b w:val="0"/>
          <w:bCs w:val="0"/>
          <w:i w:val="0"/>
          <w:iCs w:val="0"/>
          <w:caps w:val="0"/>
          <w:color w:val="333333"/>
          <w:spacing w:val="0"/>
          <w:sz w:val="44"/>
          <w:szCs w:val="44"/>
        </w:rPr>
        <w:t>建模和可视化</w:t>
      </w:r>
      <w:r>
        <w:rPr>
          <w:rFonts w:hint="eastAsia" w:ascii="黑体" w:hAnsi="黑体" w:eastAsia="黑体" w:cs="黑体"/>
          <w:b w:val="0"/>
          <w:bCs w:val="0"/>
          <w:i w:val="0"/>
          <w:iCs w:val="0"/>
          <w:caps w:val="0"/>
          <w:color w:val="333333"/>
          <w:spacing w:val="0"/>
          <w:sz w:val="44"/>
          <w:szCs w:val="44"/>
          <w:lang w:val="en-US" w:eastAsia="zh-CN"/>
        </w:rPr>
        <w:t>研究</w:t>
      </w:r>
    </w:p>
    <w:p>
      <w:pPr>
        <w:jc w:val="center"/>
        <w:rPr>
          <w:rFonts w:hint="eastAsia" w:ascii="宋体" w:hAnsi="宋体" w:eastAsia="宋体" w:cs="宋体"/>
          <w:b w:val="0"/>
          <w:bCs w:val="0"/>
          <w:i w:val="0"/>
          <w:iCs w:val="0"/>
          <w:caps w:val="0"/>
          <w:color w:val="333333"/>
          <w:spacing w:val="0"/>
          <w:sz w:val="21"/>
          <w:szCs w:val="21"/>
          <w:lang w:val="en-US" w:eastAsia="zh-CN"/>
        </w:rPr>
      </w:pPr>
      <w:r>
        <w:rPr>
          <w:rFonts w:hint="eastAsia" w:ascii="宋体" w:hAnsi="宋体" w:eastAsia="宋体" w:cs="宋体"/>
          <w:b w:val="0"/>
          <w:bCs w:val="0"/>
          <w:i w:val="0"/>
          <w:iCs w:val="0"/>
          <w:caps w:val="0"/>
          <w:color w:val="333333"/>
          <w:spacing w:val="0"/>
          <w:sz w:val="21"/>
          <w:szCs w:val="21"/>
          <w:lang w:val="en-US" w:eastAsia="zh-CN"/>
        </w:rPr>
        <w:t>米唯实</w:t>
      </w:r>
    </w:p>
    <w:p>
      <w:pPr>
        <w:jc w:val="center"/>
        <w:rPr>
          <w:rFonts w:hint="default" w:ascii="宋体" w:hAnsi="宋体" w:eastAsia="宋体" w:cs="宋体"/>
          <w:b w:val="0"/>
          <w:bCs w:val="0"/>
          <w:i w:val="0"/>
          <w:iCs w:val="0"/>
          <w:caps w:val="0"/>
          <w:color w:val="333333"/>
          <w:spacing w:val="0"/>
          <w:sz w:val="18"/>
          <w:szCs w:val="18"/>
          <w:lang w:val="en-US" w:eastAsia="zh-CN"/>
        </w:rPr>
      </w:pPr>
      <w:r>
        <w:rPr>
          <w:rFonts w:hint="eastAsia" w:ascii="宋体" w:hAnsi="宋体" w:eastAsia="宋体" w:cs="宋体"/>
          <w:b w:val="0"/>
          <w:bCs w:val="0"/>
          <w:i w:val="0"/>
          <w:iCs w:val="0"/>
          <w:caps w:val="0"/>
          <w:color w:val="333333"/>
          <w:spacing w:val="0"/>
          <w:sz w:val="18"/>
          <w:szCs w:val="18"/>
          <w:lang w:val="en-US" w:eastAsia="zh-CN"/>
        </w:rPr>
        <w:t>西安交通大学自动化系 710049 西安</w:t>
      </w:r>
    </w:p>
    <w:p>
      <w:pPr>
        <w:jc w:val="both"/>
        <w:rPr>
          <w:rFonts w:hint="default" w:ascii="黑体" w:hAnsi="黑体" w:eastAsia="黑体" w:cs="黑体"/>
          <w:b w:val="0"/>
          <w:bCs w:val="0"/>
          <w:i w:val="0"/>
          <w:iCs w:val="0"/>
          <w:caps w:val="0"/>
          <w:color w:val="333333"/>
          <w:spacing w:val="0"/>
          <w:sz w:val="21"/>
          <w:szCs w:val="21"/>
          <w:lang w:val="en-US" w:eastAsia="zh-CN"/>
        </w:rPr>
      </w:pPr>
      <w:r>
        <w:rPr>
          <w:rFonts w:hint="eastAsia" w:ascii="黑体" w:hAnsi="黑体" w:eastAsia="黑体" w:cs="黑体"/>
          <w:b w:val="0"/>
          <w:bCs w:val="0"/>
          <w:i w:val="0"/>
          <w:iCs w:val="0"/>
          <w:caps w:val="0"/>
          <w:color w:val="333333"/>
          <w:spacing w:val="0"/>
          <w:sz w:val="21"/>
          <w:szCs w:val="21"/>
          <w:lang w:val="en-US" w:eastAsia="zh-CN"/>
        </w:rPr>
        <w:t>摘要：针对目前二维电子海图不够直观等问题，本文从数据来源、软件分析、数字高程模型概述、模型可视化四方面调研和论述了对海洋环境进行三维建模的可行性和优越性，并以美国阿拉斯加某海域为例，展示了一套标准化的开发三维电子海图系统的流程，为下一代三维电子海图的开发提供了重要参考。</w:t>
      </w:r>
    </w:p>
    <w:p>
      <w:pPr>
        <w:jc w:val="both"/>
        <w:rPr>
          <w:rFonts w:hint="default" w:ascii="黑体" w:hAnsi="黑体" w:eastAsia="黑体" w:cs="黑体"/>
          <w:b w:val="0"/>
          <w:bCs w:val="0"/>
          <w:i w:val="0"/>
          <w:iCs w:val="0"/>
          <w:caps w:val="0"/>
          <w:color w:val="333333"/>
          <w:spacing w:val="0"/>
          <w:sz w:val="21"/>
          <w:szCs w:val="21"/>
          <w:lang w:val="en-US" w:eastAsia="zh-CN"/>
        </w:rPr>
      </w:pPr>
      <w:r>
        <w:rPr>
          <w:rFonts w:hint="eastAsia" w:ascii="黑体" w:hAnsi="黑体" w:eastAsia="黑体" w:cs="黑体"/>
          <w:b w:val="0"/>
          <w:bCs w:val="0"/>
          <w:i w:val="0"/>
          <w:iCs w:val="0"/>
          <w:caps w:val="0"/>
          <w:color w:val="333333"/>
          <w:spacing w:val="0"/>
          <w:sz w:val="21"/>
          <w:szCs w:val="21"/>
          <w:lang w:val="en-US" w:eastAsia="zh-CN"/>
        </w:rPr>
        <w:t>关键词：海洋环境，电子海图，中国人民解放军海军海道测量局，数字高程模型</w:t>
      </w:r>
    </w:p>
    <w:p>
      <w:pPr>
        <w:jc w:val="both"/>
        <w:rPr>
          <w:rFonts w:hint="eastAsia" w:ascii="黑体" w:hAnsi="黑体" w:eastAsia="黑体" w:cs="黑体"/>
          <w:b w:val="0"/>
          <w:bCs w:val="0"/>
          <w:i w:val="0"/>
          <w:iCs w:val="0"/>
          <w:caps w:val="0"/>
          <w:color w:val="333333"/>
          <w:spacing w:val="0"/>
          <w:sz w:val="21"/>
          <w:szCs w:val="21"/>
          <w:lang w:val="en-US" w:eastAsia="zh-CN"/>
        </w:rPr>
        <w:sectPr>
          <w:headerReference r:id="rId4" w:type="first"/>
          <w:footerReference r:id="rId6" w:type="first"/>
          <w:headerReference r:id="rId3" w:type="default"/>
          <w:footerReference r:id="rId5" w:type="default"/>
          <w:pgSz w:w="11906" w:h="16838"/>
          <w:pgMar w:top="1440" w:right="1020" w:bottom="1440" w:left="1020" w:header="851" w:footer="992" w:gutter="0"/>
          <w:cols w:space="0" w:num="1"/>
          <w:rtlGutter w:val="0"/>
          <w:docGrid w:type="lines" w:linePitch="312" w:charSpace="0"/>
        </w:sectPr>
      </w:pPr>
      <w:r>
        <w:rPr>
          <w:rFonts w:hint="eastAsia" w:ascii="黑体" w:hAnsi="黑体" w:eastAsia="黑体" w:cs="黑体"/>
          <w:b w:val="0"/>
          <w:bCs w:val="0"/>
          <w:i w:val="0"/>
          <w:iCs w:val="0"/>
          <w:caps w:val="0"/>
          <w:color w:val="333333"/>
          <w:spacing w:val="0"/>
          <w:sz w:val="21"/>
          <w:szCs w:val="21"/>
          <w:lang w:val="en-US" w:eastAsia="zh-CN"/>
        </w:rPr>
        <w:t>中图分类号：P229.1</w:t>
      </w:r>
    </w:p>
    <w:p>
      <w:pPr>
        <w:ind w:firstLine="420" w:firstLineChars="0"/>
        <w:jc w:val="both"/>
        <w:rPr>
          <w:rFonts w:hint="eastAsia" w:ascii="宋体" w:hAnsi="宋体" w:eastAsia="宋体" w:cs="宋体"/>
          <w:b w:val="0"/>
          <w:bCs w:val="0"/>
          <w:i w:val="0"/>
          <w:iCs w:val="0"/>
          <w:caps w:val="0"/>
          <w:color w:val="333333"/>
          <w:spacing w:val="0"/>
          <w:sz w:val="21"/>
          <w:szCs w:val="21"/>
          <w:lang w:val="en-US" w:eastAsia="zh-CN"/>
        </w:rPr>
      </w:pPr>
      <w:r>
        <w:rPr>
          <w:rFonts w:hint="eastAsia" w:ascii="宋体" w:hAnsi="宋体" w:eastAsia="宋体" w:cs="宋体"/>
          <w:b w:val="0"/>
          <w:bCs w:val="0"/>
          <w:i w:val="0"/>
          <w:iCs w:val="0"/>
          <w:caps w:val="0"/>
          <w:color w:val="333333"/>
          <w:spacing w:val="0"/>
          <w:sz w:val="21"/>
          <w:szCs w:val="21"/>
          <w:lang w:val="en-US" w:eastAsia="zh-CN"/>
        </w:rPr>
        <w:t>环境建模是指将真实环境用符号化、抽象化的方式表示于纸质、电子等不同媒介中的技术。区别于传统纸质的表示方式，随着环境数据采集、传输、储存的信息化发展，数字化逐渐成为21世纪的主流环境建模方向。数字环境建模以卫星遥感、声呐探测等方式获取环境数据，以计算机软件等工具处理数据并实现真实环境的可视化，最终在计算机中呈现虚拟的真实环境。</w:t>
      </w:r>
    </w:p>
    <w:p>
      <w:pPr>
        <w:ind w:firstLine="420" w:firstLineChars="0"/>
        <w:jc w:val="both"/>
        <w:rPr>
          <w:rFonts w:hint="eastAsia" w:ascii="宋体" w:hAnsi="宋体" w:eastAsia="宋体" w:cs="宋体"/>
          <w:b w:val="0"/>
          <w:bCs w:val="0"/>
          <w:i w:val="0"/>
          <w:iCs w:val="0"/>
          <w:caps w:val="0"/>
          <w:color w:val="333333"/>
          <w:spacing w:val="0"/>
          <w:sz w:val="21"/>
          <w:szCs w:val="21"/>
          <w:lang w:val="en-US" w:eastAsia="zh-CN"/>
        </w:rPr>
      </w:pPr>
      <w:r>
        <w:rPr>
          <w:rFonts w:hint="eastAsia" w:ascii="宋体" w:hAnsi="宋体" w:eastAsia="宋体" w:cs="宋体"/>
          <w:b w:val="0"/>
          <w:bCs w:val="0"/>
          <w:i w:val="0"/>
          <w:iCs w:val="0"/>
          <w:caps w:val="0"/>
          <w:color w:val="333333"/>
          <w:spacing w:val="0"/>
          <w:sz w:val="21"/>
          <w:szCs w:val="21"/>
          <w:lang w:val="en-US" w:eastAsia="zh-CN"/>
        </w:rPr>
        <w:t>航海图（又称海图）是海员用以定位导航、系泊、制定航行计划和舰船航线设计，进而保证航行安全的常用工具。纸质海图作为</w:t>
      </w:r>
      <w:r>
        <w:rPr>
          <w:rFonts w:hint="eastAsia" w:ascii="宋体" w:hAnsi="宋体" w:cs="宋体"/>
          <w:b w:val="0"/>
          <w:bCs w:val="0"/>
          <w:i w:val="0"/>
          <w:iCs w:val="0"/>
          <w:caps w:val="0"/>
          <w:color w:val="333333"/>
          <w:spacing w:val="0"/>
          <w:sz w:val="21"/>
          <w:szCs w:val="21"/>
          <w:lang w:val="en-US" w:eastAsia="zh-CN"/>
        </w:rPr>
        <w:t>海图</w:t>
      </w:r>
      <w:r>
        <w:rPr>
          <w:rFonts w:hint="eastAsia" w:ascii="宋体" w:hAnsi="宋体" w:eastAsia="宋体" w:cs="宋体"/>
          <w:b w:val="0"/>
          <w:bCs w:val="0"/>
          <w:i w:val="0"/>
          <w:iCs w:val="0"/>
          <w:caps w:val="0"/>
          <w:color w:val="333333"/>
          <w:spacing w:val="0"/>
          <w:sz w:val="21"/>
          <w:szCs w:val="21"/>
          <w:lang w:val="en-US" w:eastAsia="zh-CN"/>
        </w:rPr>
        <w:t>的</w:t>
      </w:r>
      <w:r>
        <w:rPr>
          <w:rFonts w:hint="eastAsia" w:ascii="宋体" w:hAnsi="宋体" w:cs="宋体"/>
          <w:b w:val="0"/>
          <w:bCs w:val="0"/>
          <w:i w:val="0"/>
          <w:iCs w:val="0"/>
          <w:caps w:val="0"/>
          <w:color w:val="333333"/>
          <w:spacing w:val="0"/>
          <w:sz w:val="21"/>
          <w:szCs w:val="21"/>
          <w:lang w:val="en-US" w:eastAsia="zh-CN"/>
        </w:rPr>
        <w:t>传统</w:t>
      </w:r>
      <w:r>
        <w:rPr>
          <w:rFonts w:hint="eastAsia" w:ascii="宋体" w:hAnsi="宋体" w:eastAsia="宋体" w:cs="宋体"/>
          <w:b w:val="0"/>
          <w:bCs w:val="0"/>
          <w:i w:val="0"/>
          <w:iCs w:val="0"/>
          <w:caps w:val="0"/>
          <w:color w:val="333333"/>
          <w:spacing w:val="0"/>
          <w:sz w:val="21"/>
          <w:szCs w:val="21"/>
          <w:lang w:val="en-US" w:eastAsia="zh-CN"/>
        </w:rPr>
        <w:t>表现形式，有着多种缺点：更新困难；受印刷版面等物理尺寸影响大；不便于标记，图上作业难以修改；携带不便，不易保存等。除此之外，纸质海图还需要较专业的海图阅读能力，有着较高的专业门槛。因此，针对以上缺点，电子海图正逐渐成为海图的新兴表现形式。电子海图，又称数字海图，是以数字信息表示的，以描写海域地理要素和航海要素为主的海图。主要分为光栅海图与矢量地图两种，较好地解决了纸质海图的多种缺点。然而，目前所有的纸质海图和电子海图产品，均选择以二维平面的形式表示海图要素，均没有解决二维海图较为抽象。难以阅读的缺点。随着三维可视化技术的发展，更为具象的立体化三维海图成为新一代海图的发展方向之一。研究海洋环境的三维化建模方法，可以帮助海员更好地把握海洋地形，也可降低非专业人员认识海洋，了解海洋，应用海洋的门槛。</w:t>
      </w:r>
    </w:p>
    <w:p>
      <w:pPr>
        <w:pStyle w:val="2"/>
        <w:bidi w:val="0"/>
        <w:rPr>
          <w:rFonts w:hint="eastAsia"/>
          <w:lang w:val="en-US" w:eastAsia="zh-CN"/>
        </w:rPr>
      </w:pPr>
      <w:r>
        <w:rPr>
          <w:rFonts w:hint="eastAsia"/>
          <w:lang w:val="en-US" w:eastAsia="zh-CN"/>
        </w:rPr>
        <w:t>1海洋数据来源</w:t>
      </w:r>
    </w:p>
    <w:p>
      <w:pPr>
        <w:ind w:firstLine="420" w:firstLineChars="0"/>
        <w:rPr>
          <w:rFonts w:hint="default"/>
          <w:lang w:val="en-US" w:eastAsia="zh-CN"/>
        </w:rPr>
      </w:pPr>
      <w:r>
        <w:rPr>
          <w:rFonts w:hint="eastAsia"/>
          <w:lang w:val="en-US" w:eastAsia="zh-CN"/>
        </w:rPr>
        <w:t>海图或航海出版物系指有政府、经授权的海道测量部门或其他有关的政府机构正式发行或授权发行的用于满足海上航行需要的专用图或书，或能生成此类图或书的经特殊编制的数据库。海图由国际海道测量组织授权的专门机构完成，或使用专用的数字化软件，将纸海图转换成矢量数字海图要素信息数据库</w:t>
      </w:r>
      <w:r>
        <w:rPr>
          <w:rFonts w:hint="eastAsia" w:ascii="Times New Roman" w:hAnsi="Times New Roman" w:eastAsia="华光报宋_CNKI" w:cs="Times New Roman"/>
          <w:vertAlign w:val="superscript"/>
          <w:lang w:val="en-US" w:eastAsia="zh-CN"/>
        </w:rPr>
        <w:t>[1]</w:t>
      </w:r>
      <w:r>
        <w:rPr>
          <w:rFonts w:hint="eastAsia" w:ascii="Times New Roman" w:hAnsi="Times New Roman" w:eastAsia="华光报宋_CNKI" w:cs="Times New Roman"/>
          <w:vertAlign w:val="baseline"/>
          <w:lang w:val="en-US" w:eastAsia="zh-CN"/>
        </w:rPr>
        <w:t>。</w:t>
      </w:r>
      <w:r>
        <w:rPr>
          <w:rFonts w:hint="eastAsia"/>
          <w:lang w:val="en-US" w:eastAsia="zh-CN"/>
        </w:rPr>
        <w:t>数字海图的格式主要有三种：1) S-57标准——一种由国际海道测量组织制定的主要数字海图交换标准。该标准主要用于世界各国之间海道测量数据/电子海图数据的交换以及原始设备制造厂商 、终端用户电子海图的分发等。2) S-63标准——国际海道测量组织颁布的数据保护方案。该标准规范了ENCs数据的安全保护方法，确保了多数据源用户ENCs分发和服务的一致性。S-63本质是一种加密的S-57格式数据。3) S-100标准——一种由国际海图测量组织新推出的海道地理数据标准，以支持各种多样化的海图服务、产品和海图使用厂家为目的。其本质不基于S-57标准，而是一种新式的标准集。与S-57标准相比，S-100标准更加灵活，数据类型更加丰富，可以满足更多类型服务的需求。例如，光栅数据、三维数据、时变数据等新型数据类型为海图服务创造了新用途、新应用。</w:t>
      </w:r>
    </w:p>
    <w:p>
      <w:pPr>
        <w:ind w:firstLine="420" w:firstLineChars="0"/>
        <w:rPr>
          <w:rFonts w:hint="eastAsia"/>
          <w:lang w:val="en-US" w:eastAsia="zh-CN"/>
        </w:rPr>
      </w:pPr>
      <w:r>
        <w:rPr>
          <w:rFonts w:hint="eastAsia"/>
          <w:lang w:val="en-US" w:eastAsia="zh-CN"/>
        </w:rPr>
        <w:t>官方电子海图数据的来源是海道测量机构或其他相关政府机构</w:t>
      </w:r>
      <w:r>
        <w:rPr>
          <w:rFonts w:hint="eastAsia"/>
          <w:vertAlign w:val="superscript"/>
          <w:lang w:val="en-US" w:eastAsia="zh-CN"/>
        </w:rPr>
        <w:t>[5]</w:t>
      </w:r>
      <w:r>
        <w:rPr>
          <w:rFonts w:hint="eastAsia"/>
          <w:lang w:val="en-US" w:eastAsia="zh-CN"/>
        </w:rPr>
        <w:t>，包括中国人民解放军海军海道测量局（CNHO）、日本水路协会（JHA）、韩国海洋调查协会（KOHA）、美国国家海洋与大气管理局（NOAA）、英国海道测量局（UKHO）等。本文所采用的海图数据，如水深、航标等，均采用CNHO和NOAA两者的公开数据集。其中CNHO数据集数据格式为S-63，NOAA数据格式为S-57。对于加密的S-63数据，本文暂时使用示例数据——官网公开密匙以说明数据用法的加密数据作为代表。</w:t>
      </w:r>
    </w:p>
    <w:p>
      <w:pPr>
        <w:pStyle w:val="2"/>
        <w:bidi w:val="0"/>
        <w:rPr>
          <w:rFonts w:hint="default"/>
          <w:lang w:val="en-US" w:eastAsia="zh-CN"/>
        </w:rPr>
      </w:pPr>
      <w:r>
        <w:rPr>
          <w:rFonts w:hint="eastAsia"/>
          <w:lang w:val="en-US" w:eastAsia="zh-CN"/>
        </w:rPr>
        <w:t>2海图显示软件分析</w:t>
      </w:r>
    </w:p>
    <w:p>
      <w:pPr>
        <w:ind w:firstLine="420" w:firstLineChars="0"/>
        <w:rPr>
          <w:rFonts w:hint="default"/>
          <w:lang w:val="en-US" w:eastAsia="zh-CN"/>
        </w:rPr>
      </w:pPr>
      <w:r>
        <w:rPr>
          <w:rFonts w:hint="default"/>
          <w:lang w:val="en-US" w:eastAsia="zh-CN"/>
        </w:rPr>
        <w:t>电子海图显示与信息系统</w:t>
      </w:r>
      <w:r>
        <w:rPr>
          <w:rFonts w:hint="eastAsia"/>
          <w:lang w:val="en-US" w:eastAsia="zh-CN"/>
        </w:rPr>
        <w:t>，指电子海图的标准应用系统，其可以承担海图查看、制作、数据提取等功能</w:t>
      </w:r>
      <w:r>
        <w:rPr>
          <w:rFonts w:hint="eastAsia"/>
          <w:vertAlign w:val="superscript"/>
          <w:lang w:val="en-US" w:eastAsia="zh-CN"/>
        </w:rPr>
        <w:t>[4]</w:t>
      </w:r>
      <w:r>
        <w:rPr>
          <w:rFonts w:hint="eastAsia"/>
          <w:lang w:val="en-US" w:eastAsia="zh-CN"/>
        </w:rPr>
        <w:t>。本文只使用其软件部分，即电子海图软件。其按具体功能又可划分为完全可编辑软件和仅查看软件，按开源与否可分为商用软件和开源软件，按查看方式看可分为离线软件和在线软件。</w:t>
      </w:r>
    </w:p>
    <w:p>
      <w:pPr>
        <w:pStyle w:val="3"/>
        <w:bidi w:val="0"/>
        <w:rPr>
          <w:rFonts w:hint="default"/>
          <w:lang w:val="en-US" w:eastAsia="zh-CN"/>
        </w:rPr>
      </w:pPr>
      <w:r>
        <w:rPr>
          <w:rFonts w:hint="eastAsia"/>
          <w:lang w:val="en-US" w:eastAsia="zh-CN"/>
        </w:rPr>
        <w:t>2</w:t>
      </w:r>
      <w:r>
        <w:t xml:space="preserve">.1 </w:t>
      </w:r>
      <w:r>
        <w:rPr>
          <w:rFonts w:hint="eastAsia"/>
          <w:lang w:val="en-US" w:eastAsia="zh-CN"/>
        </w:rPr>
        <w:t>完全可编辑软件</w:t>
      </w:r>
    </w:p>
    <w:p>
      <w:pPr>
        <w:pStyle w:val="4"/>
        <w:bidi w:val="0"/>
        <w:rPr>
          <w:rFonts w:hint="default"/>
          <w:lang w:val="en-US" w:eastAsia="zh-CN"/>
        </w:rPr>
      </w:pPr>
      <w:r>
        <w:rPr>
          <w:rFonts w:hint="eastAsia"/>
          <w:lang w:val="en-US" w:eastAsia="zh-CN"/>
        </w:rPr>
        <w:t>2.1.1 QGIS——开源软件</w:t>
      </w:r>
    </w:p>
    <w:p>
      <w:pPr>
        <w:bidi w:val="0"/>
        <w:ind w:firstLine="420" w:firstLineChars="0"/>
        <w:rPr>
          <w:rFonts w:hint="default"/>
          <w:lang w:val="en-US" w:eastAsia="zh-CN"/>
        </w:rPr>
      </w:pPr>
      <w:r>
        <w:rPr>
          <w:rFonts w:hint="eastAsia"/>
          <w:lang w:val="en-US" w:eastAsia="zh-CN"/>
        </w:rPr>
        <w:t>QGIS是目前唯一一款具有完全可编辑功能的开源软件，也即提供了全部的显示数据、编辑数据和分析数据的能力。QGIS使用C++语言编写，并在显示上使用了Qt库，支持C++和Python插件，并可以在Windows、Linux、Mac OS等多种操作系统中运行，为软件的再开发和接口编写提供极大便利。相比于商用软件，QGIS的文件占空间更小，需要的内存更少，并且对机器的要求也更低。因此，QGIS的适用平台更加广泛。</w:t>
      </w:r>
    </w:p>
    <w:p>
      <w:pPr>
        <w:bidi w:val="0"/>
        <w:ind w:firstLine="420" w:firstLineChars="0"/>
        <w:rPr>
          <w:rFonts w:hint="eastAsia"/>
          <w:lang w:val="en-US" w:eastAsia="zh-CN"/>
        </w:rPr>
      </w:pPr>
      <w:r>
        <w:rPr>
          <w:rFonts w:hint="eastAsia"/>
          <w:lang w:val="en-US" w:eastAsia="zh-CN"/>
        </w:rPr>
        <w:t>支持数据格式：1)矢量资料——PostgreSQL、OGR函式库，包括ESRI Shapefiles等。2)栅格资料——GDAL函式库，如GeoTiff、ArcInfo ASCII Grid。3)GRASS栅格与矢量数据。4)OGC数据等。</w:t>
      </w:r>
    </w:p>
    <w:p>
      <w:pPr>
        <w:pStyle w:val="4"/>
        <w:bidi w:val="0"/>
        <w:rPr>
          <w:rFonts w:hint="eastAsia"/>
          <w:lang w:val="en-US" w:eastAsia="zh-CN"/>
        </w:rPr>
      </w:pPr>
      <w:r>
        <w:rPr>
          <w:rFonts w:hint="eastAsia"/>
          <w:lang w:val="en-US" w:eastAsia="zh-CN"/>
        </w:rPr>
        <w:t>2.1.2 ArcMap——商用软件</w:t>
      </w:r>
    </w:p>
    <w:p>
      <w:pPr>
        <w:ind w:firstLine="420" w:firstLineChars="0"/>
        <w:rPr>
          <w:rFonts w:hint="eastAsia"/>
          <w:lang w:val="en-US" w:eastAsia="zh-CN"/>
        </w:rPr>
      </w:pPr>
      <w:r>
        <w:rPr>
          <w:rFonts w:hint="eastAsia"/>
          <w:lang w:val="en-US" w:eastAsia="zh-CN"/>
        </w:rPr>
        <w:t>ArcMap是1978年美国环境系统研究所（简称ESRI）开发的ArcGIS系统的重要组成部分。ArcGIS由三个桌面组件组成，ArcMap是其中提供地图制作，数据分析与建库功能的部分。本质上来说，ArcMap是面向对象编辑器和数据分析器的联合，足以提供面向地图的包括制图、编辑、分析等所有功能。以ArcMap为代表的ArcGIS产品线，包含了多种可编程组件、从小尺度的几何对象到大尺度的地图图层的编辑工具，是一款极为全面的地图编辑工具。</w:t>
      </w:r>
    </w:p>
    <w:p>
      <w:pPr>
        <w:ind w:firstLine="420" w:firstLineChars="0"/>
        <w:rPr>
          <w:rFonts w:hint="default"/>
          <w:lang w:val="en-US" w:eastAsia="zh-CN"/>
        </w:rPr>
      </w:pPr>
      <w:r>
        <w:rPr>
          <w:rFonts w:hint="eastAsia"/>
          <w:lang w:val="en-US" w:eastAsia="zh-CN"/>
        </w:rPr>
        <w:t>ArcMap可以为两种类型地图提供视图服务：数据视图和布局视图。其中数据视图为开发者提供符号化显示、数据分析和编辑的功能，布局视图为开发者提供处理地图页面的功能。</w:t>
      </w:r>
    </w:p>
    <w:p>
      <w:pPr>
        <w:pStyle w:val="4"/>
        <w:bidi w:val="0"/>
        <w:rPr>
          <w:rFonts w:hint="eastAsia"/>
          <w:lang w:val="en-US" w:eastAsia="zh-CN"/>
        </w:rPr>
      </w:pPr>
      <w:r>
        <w:rPr>
          <w:rFonts w:hint="eastAsia"/>
          <w:lang w:val="en-US" w:eastAsia="zh-CN"/>
        </w:rPr>
        <w:t>2.1.3 德系SevenCs公司产品——商用软件</w:t>
      </w:r>
    </w:p>
    <w:p>
      <w:pPr>
        <w:bidi w:val="0"/>
        <w:ind w:firstLine="420" w:firstLineChars="0"/>
        <w:rPr>
          <w:rFonts w:hint="eastAsia"/>
          <w:lang w:val="en-US" w:eastAsia="zh-CN"/>
        </w:rPr>
      </w:pPr>
      <w:r>
        <w:rPr>
          <w:rFonts w:hint="eastAsia"/>
          <w:lang w:val="en-US" w:eastAsia="zh-CN"/>
        </w:rPr>
        <w:t>德国SevenCs公司独立开发了一整套电子海图软件。其中包括1) 电子海图开发引擎——EC2007 ECDIS Kernel、Chartserver等，用以开发ECDIS系统。2) 电子海图数据生产工具——如海军导航系统、通用导航系统、引航系统。3) 电子海图数据生产工具——ENC Designer、ENC Analyzer、ENC Optimizer等。其中ENC Designer是SevenCs生产套件的核心应用程序，专为制作S-57电子海图而开发。ENC Designer支持以ASCII方式导入离散深度数据，并可以使用不同颜色来表示。</w:t>
      </w:r>
    </w:p>
    <w:p>
      <w:pPr>
        <w:pStyle w:val="4"/>
        <w:bidi w:val="0"/>
        <w:rPr>
          <w:rFonts w:hint="eastAsia"/>
          <w:lang w:val="en-US" w:eastAsia="zh-CN"/>
        </w:rPr>
      </w:pPr>
      <w:r>
        <w:rPr>
          <w:rFonts w:hint="eastAsia"/>
          <w:lang w:val="en-US" w:eastAsia="zh-CN"/>
        </w:rPr>
        <w:t>2.1.4 TELEDYNE CARIS公司产品——商用软件</w:t>
      </w:r>
    </w:p>
    <w:p>
      <w:pPr>
        <w:ind w:firstLine="420" w:firstLineChars="0"/>
        <w:rPr>
          <w:rFonts w:hint="eastAsia"/>
          <w:lang w:val="en-US" w:eastAsia="zh-CN"/>
        </w:rPr>
      </w:pPr>
      <w:r>
        <w:rPr>
          <w:rFonts w:hint="eastAsia"/>
          <w:lang w:val="en-US" w:eastAsia="zh-CN"/>
        </w:rPr>
        <w:t>Teledyne CARIS公司提供了整个的GIS开发系统，包括图表制作软件、空间数据分析软件、水文调查软件、海洋AI平台、自主处理数据包，结合整套的安装服务和培训课程，为海图开发者，尤其是海员提供了便捷的服务。</w:t>
      </w:r>
    </w:p>
    <w:p>
      <w:pPr>
        <w:ind w:firstLine="420" w:firstLineChars="0"/>
        <w:rPr>
          <w:rFonts w:hint="eastAsia"/>
          <w:lang w:val="en-US" w:eastAsia="zh-CN"/>
        </w:rPr>
      </w:pPr>
      <w:r>
        <w:rPr>
          <w:rFonts w:hint="eastAsia"/>
          <w:lang w:val="en-US" w:eastAsia="zh-CN"/>
        </w:rPr>
        <w:t>CARIS HPD产品编辑器是用于制作S-57格式电子航海图(ENC)、内陆电子航海图(IENC)、附加军事层(AML)和地理标记语言产品(GML)的下一代数据库应用程序，为使用者提供从数据库到可视化显示的服务。同时，其基础编辑器也提供以三维方式显示光栅数据、点云数据和矢量特征数据的功能，并且准备数据后，还允许生成平滑轮廓、选定深度区域和选定测深深度等功能。它以其便捷性成为上海海图中心选用的海图处理软件。</w:t>
      </w:r>
    </w:p>
    <w:p>
      <w:pPr>
        <w:pStyle w:val="3"/>
        <w:bidi w:val="0"/>
        <w:rPr>
          <w:rFonts w:hint="default"/>
          <w:lang w:val="en-US" w:eastAsia="zh-CN"/>
        </w:rPr>
      </w:pPr>
      <w:r>
        <w:rPr>
          <w:rFonts w:hint="eastAsia"/>
          <w:lang w:val="en-US" w:eastAsia="zh-CN"/>
        </w:rPr>
        <w:t>2</w:t>
      </w:r>
      <w:r>
        <w:t>.</w:t>
      </w:r>
      <w:r>
        <w:rPr>
          <w:rFonts w:hint="eastAsia"/>
          <w:lang w:val="en-US" w:eastAsia="zh-CN"/>
        </w:rPr>
        <w:t>2</w:t>
      </w:r>
      <w:r>
        <w:t xml:space="preserve"> </w:t>
      </w:r>
      <w:r>
        <w:rPr>
          <w:rFonts w:hint="eastAsia"/>
          <w:lang w:val="en-US" w:eastAsia="zh-CN"/>
        </w:rPr>
        <w:t>仅查看软件</w:t>
      </w:r>
    </w:p>
    <w:p>
      <w:pPr>
        <w:pStyle w:val="4"/>
        <w:bidi w:val="0"/>
        <w:rPr>
          <w:rFonts w:hint="eastAsia"/>
          <w:lang w:val="en-US" w:eastAsia="zh-CN"/>
        </w:rPr>
      </w:pPr>
      <w:r>
        <w:rPr>
          <w:rFonts w:hint="eastAsia"/>
          <w:lang w:val="en-US" w:eastAsia="zh-CN"/>
        </w:rPr>
        <w:t>2.2.1 OpenCPN——开源软件</w:t>
      </w:r>
    </w:p>
    <w:p>
      <w:pPr>
        <w:ind w:firstLine="420" w:firstLineChars="0"/>
        <w:rPr>
          <w:rFonts w:hint="default"/>
          <w:lang w:val="en-US" w:eastAsia="zh-CN"/>
        </w:rPr>
      </w:pPr>
      <w:r>
        <w:rPr>
          <w:rFonts w:hint="eastAsia"/>
          <w:lang w:val="en-US" w:eastAsia="zh-CN"/>
        </w:rPr>
        <w:t>OpenCPN是一款由一个活跃的海员团队开发的免费开源海图绘图仪和海洋GPS导航软件，其可以作为航行过程中的参考和计划工具使用。支持Windows、Linux、Vista等系统平台。</w:t>
      </w:r>
    </w:p>
    <w:p>
      <w:pPr>
        <w:ind w:firstLine="420" w:firstLineChars="0"/>
        <w:rPr>
          <w:rFonts w:hint="eastAsia"/>
          <w:lang w:val="en-US" w:eastAsia="zh-CN"/>
        </w:rPr>
      </w:pPr>
      <w:r>
        <w:rPr>
          <w:rFonts w:hint="eastAsia"/>
          <w:lang w:val="en-US" w:eastAsia="zh-CN"/>
        </w:rPr>
        <w:t>其功能有1) 提供IHO S-52和S-57矢量海图的兼容显示；2) 支持BSBv3光栅海图和S-57 ENC海图；3) 进行海图的单独显示和拼接显示；4) 三种显示模式——</w:t>
      </w:r>
      <w:r>
        <w:rPr>
          <w:rFonts w:hint="default"/>
          <w:lang w:val="en-US" w:eastAsia="zh-CN"/>
        </w:rPr>
        <w:t>”</w:t>
      </w:r>
      <w:r>
        <w:rPr>
          <w:rFonts w:hint="eastAsia"/>
          <w:lang w:val="en-US" w:eastAsia="zh-CN"/>
        </w:rPr>
        <w:t>Couse-up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North-up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Chart-up</w:t>
      </w:r>
      <w:r>
        <w:rPr>
          <w:rFonts w:hint="default"/>
          <w:lang w:val="en-US" w:eastAsia="zh-CN"/>
        </w:rPr>
        <w:t>”</w:t>
      </w:r>
      <w:r>
        <w:rPr>
          <w:rFonts w:hint="eastAsia"/>
          <w:lang w:val="en-US" w:eastAsia="zh-CN"/>
        </w:rPr>
        <w:t>；5) 自动警报；6) 显示潮汐，并且以此支持进行航行计划。</w:t>
      </w:r>
    </w:p>
    <w:p>
      <w:pPr>
        <w:pStyle w:val="4"/>
        <w:bidi w:val="0"/>
        <w:rPr>
          <w:rFonts w:hint="eastAsia"/>
          <w:lang w:val="en-US" w:eastAsia="zh-CN"/>
        </w:rPr>
      </w:pPr>
      <w:r>
        <w:rPr>
          <w:rFonts w:hint="eastAsia"/>
          <w:lang w:val="en-US" w:eastAsia="zh-CN"/>
        </w:rPr>
        <w:t>2.2.2 EASY VIEW——开源软件</w:t>
      </w:r>
    </w:p>
    <w:p>
      <w:pPr>
        <w:ind w:firstLine="420" w:firstLineChars="0"/>
        <w:rPr>
          <w:rFonts w:hint="eastAsia"/>
          <w:lang w:val="en-US" w:eastAsia="zh-CN"/>
        </w:rPr>
      </w:pPr>
      <w:r>
        <w:rPr>
          <w:rFonts w:hint="eastAsia"/>
          <w:lang w:val="en-US" w:eastAsia="zh-CN"/>
        </w:rPr>
        <w:t>EASY VIEW是由Teledyne CARIS公司开发的2D/3D空间数据查看器。Easy View提供了交互不同类型数据的功能，包括DTM、光栅图像、CSV图表、点云、可变分辨率表面数据和矢量数据源。例如，shapefile矢量数据和S-57和S-100格式电子海图。</w:t>
      </w:r>
    </w:p>
    <w:p>
      <w:pPr>
        <w:ind w:firstLine="420" w:firstLineChars="0"/>
        <w:rPr>
          <w:rFonts w:hint="default"/>
          <w:lang w:val="en-US" w:eastAsia="zh-CN"/>
        </w:rPr>
      </w:pPr>
      <w:r>
        <w:rPr>
          <w:rFonts w:hint="eastAsia"/>
          <w:lang w:val="en-US" w:eastAsia="zh-CN"/>
        </w:rPr>
        <w:t>软件为打开的不同图层提供了修改绘制顺序、显示参数和自动对齐的功能，并且可以在2D/3D中进行选择和查询图层来进行额外分析。其拥有3D可视化引擎，使得用户可以使用各种可视化、表面平滑和数据过滤技术从各个角度有效地检查数据。</w:t>
      </w:r>
    </w:p>
    <w:p>
      <w:pPr>
        <w:pStyle w:val="4"/>
        <w:bidi w:val="0"/>
        <w:rPr>
          <w:rFonts w:hint="eastAsia"/>
          <w:lang w:val="en-US" w:eastAsia="zh-CN"/>
        </w:rPr>
      </w:pPr>
      <w:r>
        <w:rPr>
          <w:rFonts w:hint="eastAsia"/>
          <w:lang w:val="en-US" w:eastAsia="zh-CN"/>
        </w:rPr>
        <w:t>2.2.3 SeeMyENC——开源软件</w:t>
      </w:r>
    </w:p>
    <w:p>
      <w:pPr>
        <w:ind w:firstLine="420" w:firstLineChars="0"/>
        <w:rPr>
          <w:rFonts w:hint="eastAsia"/>
          <w:lang w:val="en-US" w:eastAsia="zh-CN"/>
        </w:rPr>
      </w:pPr>
      <w:r>
        <w:rPr>
          <w:rFonts w:hint="eastAsia"/>
          <w:lang w:val="en-US" w:eastAsia="zh-CN"/>
        </w:rPr>
        <w:t>SeeMyENC软件是由SevenCs公司开发的，专门用于海图查看的轻量级软件，其总体大小只有50MB，但是其只提供了海图的基本查看功能，只支持Windows系列操作系统。</w:t>
      </w:r>
    </w:p>
    <w:p>
      <w:pPr>
        <w:pStyle w:val="4"/>
        <w:bidi w:val="0"/>
        <w:rPr>
          <w:rFonts w:hint="eastAsia"/>
          <w:lang w:val="en-US" w:eastAsia="zh-CN"/>
        </w:rPr>
      </w:pPr>
      <w:r>
        <w:rPr>
          <w:rFonts w:hint="eastAsia"/>
          <w:lang w:val="en-US" w:eastAsia="zh-CN"/>
        </w:rPr>
        <w:t>2.2.4 ChartServer——在线软件</w:t>
      </w:r>
    </w:p>
    <w:p>
      <w:pPr>
        <w:ind w:firstLine="420" w:firstLineChars="0"/>
        <w:rPr>
          <w:rFonts w:hint="default"/>
          <w:lang w:val="en-US" w:eastAsia="zh-CN"/>
        </w:rPr>
      </w:pPr>
      <w:r>
        <w:rPr>
          <w:rFonts w:hint="eastAsia"/>
          <w:lang w:val="en-US" w:eastAsia="zh-CN"/>
        </w:rPr>
        <w:t>Chartserver是SevenCs公司开发的在线海图数据阅读工具，可以在线以网站形式提供风场、水深、海浪、洋流等海洋数据，然而其不具备标准的海图格式，因此不能用来做海洋深度处理工作。</w:t>
      </w:r>
    </w:p>
    <w:p>
      <w:pPr>
        <w:pStyle w:val="2"/>
        <w:bidi w:val="0"/>
        <w:rPr>
          <w:rFonts w:hint="default"/>
          <w:lang w:val="en-US" w:eastAsia="zh-CN"/>
        </w:rPr>
      </w:pPr>
      <w:r>
        <w:rPr>
          <w:rFonts w:hint="eastAsia"/>
          <w:lang w:val="en-US" w:eastAsia="zh-CN"/>
        </w:rPr>
        <w:t>3 数字高程模型概述</w:t>
      </w:r>
    </w:p>
    <w:p>
      <w:pPr>
        <w:pStyle w:val="3"/>
        <w:bidi w:val="0"/>
        <w:rPr>
          <w:rFonts w:hint="default"/>
          <w:lang w:val="en-US" w:eastAsia="zh-CN"/>
        </w:rPr>
      </w:pPr>
      <w:r>
        <w:rPr>
          <w:rFonts w:hint="eastAsia"/>
          <w:lang w:val="en-US" w:eastAsia="zh-CN"/>
        </w:rPr>
        <w:t>3</w:t>
      </w:r>
      <w:r>
        <w:t>.</w:t>
      </w:r>
      <w:r>
        <w:rPr>
          <w:rFonts w:hint="eastAsia"/>
          <w:lang w:val="en-US" w:eastAsia="zh-CN"/>
        </w:rPr>
        <w:t>1</w:t>
      </w:r>
      <w:r>
        <w:t xml:space="preserve"> </w:t>
      </w:r>
      <w:r>
        <w:rPr>
          <w:rFonts w:hint="eastAsia"/>
          <w:lang w:val="en-US" w:eastAsia="zh-CN"/>
        </w:rPr>
        <w:t>等高线模型</w:t>
      </w:r>
    </w:p>
    <w:p>
      <w:pPr>
        <w:ind w:firstLine="420" w:firstLineChars="0"/>
        <w:rPr>
          <w:rFonts w:hint="eastAsia"/>
          <w:lang w:val="en-US" w:eastAsia="zh-CN"/>
        </w:rPr>
      </w:pPr>
      <w:r>
        <w:rPr>
          <w:rFonts w:hint="eastAsia"/>
          <w:lang w:val="en-US" w:eastAsia="zh-CN"/>
        </w:rPr>
        <w:t>等高线模型是数字高程模型的一种常用表现方式，等高线模型示意高程，高程的集合是储存在已知数据库的。每一个等高线表示一个对应的高度值，一系列的等高线集合和其所代表的高程值一起组成了一种对高程的数字表示</w:t>
      </w:r>
      <w:r>
        <w:rPr>
          <w:rFonts w:hint="eastAsia"/>
          <w:vertAlign w:val="superscript"/>
          <w:lang w:val="en-US" w:eastAsia="zh-CN"/>
        </w:rPr>
        <w:t>[3]</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411095" cy="1435100"/>
            <wp:effectExtent l="0" t="0" r="12065" b="12700"/>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14"/>
                    <a:stretch>
                      <a:fillRect/>
                    </a:stretch>
                  </pic:blipFill>
                  <pic:spPr>
                    <a:xfrm>
                      <a:off x="0" y="0"/>
                      <a:ext cx="2411095" cy="1435100"/>
                    </a:xfrm>
                    <a:prstGeom prst="rect">
                      <a:avLst/>
                    </a:prstGeom>
                  </pic:spPr>
                </pic:pic>
              </a:graphicData>
            </a:graphic>
          </wp:inline>
        </w:drawing>
      </w:r>
    </w:p>
    <w:p>
      <w:pPr>
        <w:pStyle w:val="5"/>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等高线模型示意</w:t>
      </w:r>
    </w:p>
    <w:p>
      <w:pPr>
        <w:ind w:firstLine="420" w:firstLineChars="0"/>
        <w:rPr>
          <w:rFonts w:hint="default"/>
          <w:lang w:val="en-US" w:eastAsia="zh-CN"/>
        </w:rPr>
      </w:pPr>
      <w:r>
        <w:rPr>
          <w:rFonts w:hint="eastAsia"/>
          <w:lang w:val="en-US" w:eastAsia="zh-CN"/>
        </w:rPr>
        <w:t>等高线一般被存成一个成序列的坐标点序列，认为其是一条带有高程属性的简单多边形或多边形弧段。由于等高线模型只表达了区域的部分高程值，往往需要一种插值方法来计算落在等高线外的其他点的高程，又因为这些点是落在两条等高线包围的区域内，所以，通常只使用外包的两条等高线的高程进行插值。</w:t>
      </w:r>
    </w:p>
    <w:p>
      <w:pPr>
        <w:pStyle w:val="3"/>
        <w:bidi w:val="0"/>
        <w:rPr>
          <w:rFonts w:hint="eastAsia"/>
          <w:lang w:val="en-US" w:eastAsia="zh-CN"/>
        </w:rPr>
      </w:pPr>
      <w:r>
        <w:rPr>
          <w:rFonts w:hint="eastAsia"/>
          <w:lang w:val="en-US" w:eastAsia="zh-CN"/>
        </w:rPr>
        <w:t>3</w:t>
      </w:r>
      <w:r>
        <w:t>.</w:t>
      </w:r>
      <w:r>
        <w:rPr>
          <w:rFonts w:hint="eastAsia"/>
          <w:lang w:val="en-US" w:eastAsia="zh-CN"/>
        </w:rPr>
        <w:t>2</w:t>
      </w:r>
      <w:r>
        <w:t xml:space="preserve"> </w:t>
      </w:r>
      <w:r>
        <w:rPr>
          <w:rFonts w:hint="eastAsia"/>
          <w:lang w:val="en-US" w:eastAsia="zh-CN"/>
        </w:rPr>
        <w:t>规则格网模型</w:t>
      </w:r>
    </w:p>
    <w:p>
      <w:pPr>
        <w:ind w:firstLine="420" w:firstLineChars="0"/>
        <w:rPr>
          <w:rFonts w:hint="eastAsia"/>
          <w:lang w:val="en-US" w:eastAsia="zh-CN"/>
        </w:rPr>
      </w:pPr>
      <w:r>
        <w:rPr>
          <w:rFonts w:hint="default"/>
          <w:lang w:val="en-US" w:eastAsia="zh-CN"/>
        </w:rPr>
        <w:t>规则网格，通常是正方形，也可以是矩形、三角形等规则网格。规则网格将区域空间切分为规则的格网单元，每个格网单元对应一个数值。数学上可以表示为一个矩阵，在计算机实现中则是一个二维数组。每个格网单元或数组的一个元素，对应一个高程值</w:t>
      </w:r>
      <w:r>
        <w:rPr>
          <w:rFonts w:hint="eastAsia"/>
          <w:vertAlign w:val="superscript"/>
          <w:lang w:val="en-US" w:eastAsia="zh-CN"/>
        </w:rPr>
        <w:t>[6</w:t>
      </w:r>
      <w:bookmarkStart w:id="0" w:name="_GoBack"/>
      <w:bookmarkEnd w:id="0"/>
      <w:r>
        <w:rPr>
          <w:rFonts w:hint="eastAsia"/>
          <w:vertAlign w:val="superscript"/>
          <w:lang w:val="en-US" w:eastAsia="zh-CN"/>
        </w:rPr>
        <w:t>]</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865120" cy="2202180"/>
            <wp:effectExtent l="0" t="0" r="0" b="7620"/>
            <wp:docPr id="3" name="图片 3" descr="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63"/>
                    <pic:cNvPicPr>
                      <a:picLocks noChangeAspect="1"/>
                    </pic:cNvPicPr>
                  </pic:nvPicPr>
                  <pic:blipFill>
                    <a:blip r:embed="rId15"/>
                    <a:stretch>
                      <a:fillRect/>
                    </a:stretch>
                  </pic:blipFill>
                  <pic:spPr>
                    <a:xfrm>
                      <a:off x="0" y="0"/>
                      <a:ext cx="2865120" cy="2202180"/>
                    </a:xfrm>
                    <a:prstGeom prst="rect">
                      <a:avLst/>
                    </a:prstGeom>
                  </pic:spPr>
                </pic:pic>
              </a:graphicData>
            </a:graphic>
          </wp:inline>
        </w:drawing>
      </w:r>
    </w:p>
    <w:p>
      <w:pPr>
        <w:pStyle w:val="5"/>
        <w:jc w:val="center"/>
        <w:rPr>
          <w:rFonts w:hint="eastAsia" w:eastAsia="黑体"/>
          <w:lang w:val="en-US" w:eastAsia="zh-CN"/>
        </w:rPr>
      </w:pPr>
      <w:r>
        <w:rPr>
          <w:rFonts w:hint="eastAsia"/>
          <w:lang w:val="en-US" w:eastAsia="zh-CN"/>
        </w:rPr>
        <w:t>表</w:t>
      </w:r>
      <w:r>
        <w:t xml:space="preserve"> </w:t>
      </w:r>
      <w:r>
        <w:rPr>
          <w:rFonts w:hint="eastAsia"/>
          <w:lang w:val="en-US" w:eastAsia="zh-CN"/>
        </w:rPr>
        <w:t xml:space="preserve">1 </w:t>
      </w:r>
      <w:r>
        <w:rPr>
          <w:rFonts w:hint="eastAsia"/>
        </w:rPr>
        <w:t>规则格网模型</w:t>
      </w:r>
      <w:r>
        <w:rPr>
          <w:rFonts w:hint="eastAsia"/>
          <w:lang w:val="en-US" w:eastAsia="zh-CN"/>
        </w:rPr>
        <w:t>示意</w:t>
      </w:r>
    </w:p>
    <w:p>
      <w:pPr>
        <w:ind w:firstLine="420" w:firstLineChars="0"/>
        <w:rPr>
          <w:rFonts w:hint="default"/>
          <w:lang w:val="en-US" w:eastAsia="zh-CN"/>
        </w:rPr>
      </w:pPr>
      <w:r>
        <w:rPr>
          <w:rFonts w:hint="default"/>
          <w:lang w:val="en-US" w:eastAsia="zh-CN"/>
        </w:rPr>
        <w:t>规则格网的高程矩阵，可以很容易地用计算机进行处理，特别是栅格数据结构的地理信息系统。它还可以很容易地计算等高线、坡度坡向、山坡阴影和自动提取流域地形，使得它成为DEM 最广泛使用的格式，目前许多国家提供的 DEM数据都是以规则格网的数据矩阵形式提供的。格网 DEM 的缺点是不能准确表示地形的结构和细部，为避免这些问题，可采用附加地形特征数据，如地形特征点、山脊线、谷底线、断裂线，以描述地形结构。</w:t>
      </w:r>
    </w:p>
    <w:p>
      <w:pPr>
        <w:pStyle w:val="3"/>
        <w:bidi w:val="0"/>
        <w:rPr>
          <w:rFonts w:hint="eastAsia"/>
          <w:lang w:val="en-US" w:eastAsia="zh-CN"/>
        </w:rPr>
      </w:pPr>
      <w:r>
        <w:rPr>
          <w:rFonts w:hint="eastAsia"/>
          <w:lang w:val="en-US" w:eastAsia="zh-CN"/>
        </w:rPr>
        <w:t>3</w:t>
      </w:r>
      <w:r>
        <w:t>.</w:t>
      </w:r>
      <w:r>
        <w:rPr>
          <w:rFonts w:hint="eastAsia"/>
          <w:lang w:val="en-US" w:eastAsia="zh-CN"/>
        </w:rPr>
        <w:t>3</w:t>
      </w:r>
      <w:r>
        <w:t xml:space="preserve"> </w:t>
      </w:r>
      <w:r>
        <w:rPr>
          <w:rFonts w:hint="eastAsia"/>
          <w:lang w:val="en-US" w:eastAsia="zh-CN"/>
        </w:rPr>
        <w:t>不规则三角网模型——TIN</w:t>
      </w:r>
    </w:p>
    <w:p>
      <w:pPr>
        <w:ind w:firstLine="420" w:firstLineChars="0"/>
        <w:rPr>
          <w:rFonts w:hint="default"/>
          <w:lang w:val="en-US" w:eastAsia="zh-CN"/>
        </w:rPr>
      </w:pPr>
      <w:r>
        <w:rPr>
          <w:rFonts w:hint="default"/>
          <w:lang w:val="en-US" w:eastAsia="zh-CN"/>
        </w:rPr>
        <w:t>不规则三角网</w:t>
      </w:r>
      <w:r>
        <w:rPr>
          <w:rFonts w:hint="eastAsia"/>
          <w:lang w:val="en-US" w:eastAsia="zh-CN"/>
        </w:rPr>
        <w:t>(</w:t>
      </w:r>
      <w:r>
        <w:rPr>
          <w:rFonts w:hint="default"/>
          <w:lang w:val="en-US" w:eastAsia="zh-CN"/>
        </w:rPr>
        <w:t>Triangulated Irregular Network, TIN</w:t>
      </w:r>
      <w:r>
        <w:rPr>
          <w:rFonts w:hint="eastAsia"/>
          <w:lang w:val="en-US" w:eastAsia="zh-CN"/>
        </w:rPr>
        <w:t>)</w:t>
      </w:r>
      <w:r>
        <w:rPr>
          <w:rFonts w:hint="default"/>
          <w:lang w:val="en-US" w:eastAsia="zh-CN"/>
        </w:rPr>
        <w:t>是另外一种表示数字高程模型的方法</w:t>
      </w:r>
      <w:r>
        <w:rPr>
          <w:rFonts w:hint="eastAsia"/>
          <w:vertAlign w:val="superscript"/>
          <w:lang w:val="en-US" w:eastAsia="zh-CN"/>
        </w:rPr>
        <w:t>[2]</w:t>
      </w:r>
      <w:r>
        <w:rPr>
          <w:rFonts w:hint="default"/>
          <w:lang w:val="en-US" w:eastAsia="zh-CN"/>
        </w:rPr>
        <w:t>，它既减少规则格网方法带来的数据冗余，同时在计算（如坡度）效率方面又优于纯粹基于等高线的方法。</w:t>
      </w:r>
    </w:p>
    <w:p>
      <w:pPr>
        <w:jc w:val="center"/>
        <w:rPr>
          <w:rFonts w:hint="default"/>
          <w:lang w:val="en-US" w:eastAsia="zh-CN"/>
        </w:rPr>
      </w:pPr>
      <w:r>
        <w:rPr>
          <w:rFonts w:hint="default"/>
          <w:lang w:val="en-US" w:eastAsia="zh-CN"/>
        </w:rPr>
        <w:drawing>
          <wp:inline distT="0" distB="0" distL="114300" distR="114300">
            <wp:extent cx="2209800" cy="1428750"/>
            <wp:effectExtent l="0" t="0" r="0" b="3810"/>
            <wp:docPr id="4" name="图片 4" descr="t01c8a2247009b61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01c8a2247009b61d6f"/>
                    <pic:cNvPicPr>
                      <a:picLocks noChangeAspect="1"/>
                    </pic:cNvPicPr>
                  </pic:nvPicPr>
                  <pic:blipFill>
                    <a:blip r:embed="rId16"/>
                    <a:stretch>
                      <a:fillRect/>
                    </a:stretch>
                  </pic:blipFill>
                  <pic:spPr>
                    <a:xfrm>
                      <a:off x="0" y="0"/>
                      <a:ext cx="2209800" cy="1428750"/>
                    </a:xfrm>
                    <a:prstGeom prst="rect">
                      <a:avLst/>
                    </a:prstGeom>
                  </pic:spPr>
                </pic:pic>
              </a:graphicData>
            </a:graphic>
          </wp:inline>
        </w:drawing>
      </w:r>
    </w:p>
    <w:p>
      <w:pPr>
        <w:pStyle w:val="5"/>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w:t>
      </w:r>
      <w:r>
        <w:rPr>
          <w:rFonts w:hint="eastAsia"/>
        </w:rPr>
        <w:t>不规则三角网模型</w:t>
      </w:r>
    </w:p>
    <w:p>
      <w:pPr>
        <w:ind w:firstLine="420" w:firstLineChars="0"/>
        <w:rPr>
          <w:rFonts w:hint="default"/>
          <w:lang w:val="en-US" w:eastAsia="zh-CN"/>
        </w:rPr>
      </w:pPr>
      <w:r>
        <w:rPr>
          <w:rFonts w:hint="default"/>
          <w:lang w:val="en-US" w:eastAsia="zh-CN"/>
        </w:rPr>
        <w:t>不规则三角网数字高程由连续的三角面组成，三角面的形状和大小取决于不规则分布的测点，或节点的位置和密度。不规则三角网与高程矩阵方法不同之处是随地形起伏变化的复杂性而改变采样点的密度和决定采样点的位置，因而它能够避免地形平坦时的数据冗余，又能按地形特征点如山脊、山谷线、地形变化线等表示数字高程特征。</w:t>
      </w:r>
    </w:p>
    <w:p>
      <w:pPr>
        <w:pStyle w:val="3"/>
        <w:bidi w:val="0"/>
        <w:rPr>
          <w:rFonts w:hint="default"/>
          <w:lang w:val="en-US" w:eastAsia="zh-CN"/>
        </w:rPr>
      </w:pPr>
      <w:r>
        <w:rPr>
          <w:rFonts w:hint="eastAsia"/>
          <w:lang w:val="en-US" w:eastAsia="zh-CN"/>
        </w:rPr>
        <w:t>3</w:t>
      </w:r>
      <w:r>
        <w:t>.</w:t>
      </w:r>
      <w:r>
        <w:rPr>
          <w:rFonts w:hint="eastAsia"/>
          <w:lang w:val="en-US" w:eastAsia="zh-CN"/>
        </w:rPr>
        <w:t>4</w:t>
      </w:r>
      <w:r>
        <w:t xml:space="preserve"> </w:t>
      </w:r>
      <w:r>
        <w:rPr>
          <w:rFonts w:hint="eastAsia"/>
          <w:lang w:val="en-US" w:eastAsia="zh-CN"/>
        </w:rPr>
        <w:t>层次模型——LOD</w:t>
      </w:r>
    </w:p>
    <w:p>
      <w:pPr>
        <w:ind w:firstLine="420" w:firstLineChars="0"/>
        <w:rPr>
          <w:rFonts w:hint="default"/>
          <w:lang w:val="en-US" w:eastAsia="zh-CN"/>
        </w:rPr>
      </w:pPr>
      <w:r>
        <w:rPr>
          <w:rFonts w:hint="default"/>
          <w:lang w:val="en-US" w:eastAsia="zh-CN"/>
        </w:rPr>
        <w:t>层次地形模型</w:t>
      </w:r>
      <w:r>
        <w:rPr>
          <w:rFonts w:hint="eastAsia"/>
          <w:lang w:val="en-US" w:eastAsia="zh-CN"/>
        </w:rPr>
        <w:t>(</w:t>
      </w:r>
      <w:r>
        <w:rPr>
          <w:rFonts w:hint="default"/>
          <w:lang w:val="en-US" w:eastAsia="zh-CN"/>
        </w:rPr>
        <w:t>Layer of Details，LOD</w:t>
      </w:r>
      <w:r>
        <w:rPr>
          <w:rFonts w:hint="eastAsia"/>
          <w:lang w:val="en-US" w:eastAsia="zh-CN"/>
        </w:rPr>
        <w:t>)</w:t>
      </w:r>
      <w:r>
        <w:rPr>
          <w:rFonts w:hint="default"/>
          <w:lang w:val="en-US" w:eastAsia="zh-CN"/>
        </w:rPr>
        <w:t>是一种表达多种不同精度水平的数字高程模型。大多数层次模型是基于不规则三角网模型的，通常不规则三角网的数据点越多精度越高，数据点越少精度越低，但数据点多则要求更多的计算资源。所以如果在精度满足要求的情况下，最好使用尽可能少的数据点。层次地形模型允许根据不同的任务要求选择不同精度的地形模型</w:t>
      </w:r>
      <w:r>
        <w:rPr>
          <w:rFonts w:hint="eastAsia"/>
          <w:vertAlign w:val="superscript"/>
          <w:lang w:val="en-US" w:eastAsia="zh-CN"/>
        </w:rPr>
        <w:t>[7]</w:t>
      </w:r>
      <w:r>
        <w:rPr>
          <w:rFonts w:hint="default"/>
          <w:lang w:val="en-US" w:eastAsia="zh-CN"/>
        </w:rPr>
        <w:t>。</w:t>
      </w:r>
    </w:p>
    <w:p>
      <w:pPr>
        <w:pStyle w:val="2"/>
        <w:bidi w:val="0"/>
        <w:rPr>
          <w:rFonts w:hint="eastAsia"/>
          <w:lang w:val="en-US" w:eastAsia="zh-CN"/>
        </w:rPr>
      </w:pPr>
      <w:r>
        <w:rPr>
          <w:rFonts w:hint="eastAsia"/>
          <w:lang w:val="en-US" w:eastAsia="zh-CN"/>
        </w:rPr>
        <w:t>4模型可视化</w:t>
      </w:r>
    </w:p>
    <w:p>
      <w:pPr>
        <w:ind w:firstLine="420" w:firstLineChars="0"/>
        <w:rPr>
          <w:rFonts w:hint="default" w:eastAsia="黑体"/>
          <w:lang w:val="en-US" w:eastAsia="zh-CN"/>
        </w:rPr>
      </w:pPr>
      <w:r>
        <w:rPr>
          <w:rFonts w:hint="eastAsia"/>
          <w:lang w:val="en-US" w:eastAsia="zh-CN"/>
        </w:rPr>
        <w:t>机器人模拟软件是每个机器人开发者工具箱中必不可少的工具。精心设计的模拟器可以使用真实场景快速测试算法、设计机器人、执行回归测试和训练 AI 系统。GAZEBO是一款流行的机器人模拟软件，其能够在复杂的室内和室外环境中准确有效地模拟机器人群体。与此同时，GAZEBO拥有一个充满活力的社区。</w:t>
      </w:r>
    </w:p>
    <w:p>
      <w:pPr>
        <w:ind w:firstLine="420" w:firstLineChars="0"/>
        <w:rPr>
          <w:rFonts w:hint="eastAsia"/>
          <w:lang w:val="en-US" w:eastAsia="zh-CN"/>
        </w:rPr>
      </w:pPr>
      <w:r>
        <w:rPr>
          <w:rFonts w:hint="eastAsia"/>
          <w:lang w:val="en-US" w:eastAsia="zh-CN"/>
        </w:rPr>
        <w:t>为了模拟出真实的地形，在救援或农业应用中使用更加真实的环境进行模拟，GAZEBO在最新版本中用安装GDAL库的方式支持了DEM文件，并且在官网中给出了从获取数据，到处理数据，再到导入GAZEBO软件的全部流程。并在软件中提供了修改DEM图比例，拼接多个DEM模型等多项功能。</w:t>
      </w:r>
    </w:p>
    <w:p>
      <w:pPr>
        <w:pStyle w:val="2"/>
        <w:bidi w:val="0"/>
        <w:rPr>
          <w:rFonts w:hint="default"/>
          <w:lang w:val="en-US" w:eastAsia="zh-CN"/>
        </w:rPr>
      </w:pPr>
      <w:r>
        <w:rPr>
          <w:rFonts w:hint="eastAsia"/>
          <w:lang w:val="en-US" w:eastAsia="zh-CN"/>
        </w:rPr>
        <w:t>5结论</w:t>
      </w:r>
    </w:p>
    <w:p>
      <w:pPr>
        <w:ind w:firstLine="420" w:firstLineChars="0"/>
        <w:rPr>
          <w:rFonts w:hint="eastAsia"/>
          <w:lang w:val="en-US" w:eastAsia="zh-CN"/>
        </w:rPr>
      </w:pPr>
      <w:r>
        <w:rPr>
          <w:rFonts w:hint="eastAsia"/>
          <w:lang w:val="en-US" w:eastAsia="zh-CN"/>
        </w:rPr>
        <w:t>针对目前二维电子海图不够直观等问题，本文从数据来源、软件分析、数字高程模型概述、模型可视化四方面调研和论述了对海洋环境进行三维建模的可行性和优越性。其中海图数据具有标准的、全世界公认的数据格式和稳定可靠的供应商；海图软件丰富多样，从商用到开源，足以满足不同人群对数据处理之要求；数字高程模型是一种成熟的地图表征方式，并且其在多种仿真软件中均有支持，为其可视化提供了充足条件。本文以此推断三维海图将会成为电子海图的下一代发展方向。</w:t>
      </w:r>
    </w:p>
    <w:p>
      <w:pPr>
        <w:rPr>
          <w:rFonts w:hint="eastAsia"/>
          <w:lang w:val="en-US" w:eastAsia="zh-CN"/>
        </w:rPr>
      </w:pPr>
    </w:p>
    <w:p>
      <w:pPr>
        <w:numPr>
          <w:ilvl w:val="0"/>
          <w:numId w:val="0"/>
        </w:numPr>
        <w:jc w:val="both"/>
        <w:rPr>
          <w:rFonts w:eastAsia="黑体"/>
          <w:color w:val="020231"/>
          <w:szCs w:val="21"/>
        </w:rPr>
      </w:pPr>
      <w:r>
        <w:rPr>
          <w:rFonts w:eastAsia="黑体"/>
          <w:color w:val="020231"/>
          <w:szCs w:val="21"/>
        </w:rPr>
        <w:t>参考文献：</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[1]沙宏杰, 陆龙妹, 邵宇. 三维电子海图系统的实现与应用[J]. 航海(6):5.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[2]叶志荣. 琼州海峡三维电子海图系统设计与实现[J]. 海洋测绘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[3]徐唐进, 张安民. 动态水深环境下的无人艇路径规划[J]. 测绘科学</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[4] 刘志军, 金继业, 刘振民,等. 海洋底质三维可视化模拟初步研究[J]. 测绘科学, 2008, No.153(003):113-115.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[5]张锦明, 游雄, 万刚. DEM插值参数优选的试验</w:t>
      </w:r>
      <w:r>
        <w:rPr>
          <w:rFonts w:hint="eastAsia" w:ascii="黑体" w:hAnsi="黑体" w:eastAsia="黑体" w:cs="黑体"/>
          <w:i w:val="0"/>
          <w:iCs w:val="0"/>
          <w:caps w:val="0"/>
          <w:color w:val="333333"/>
          <w:spacing w:val="0"/>
          <w:sz w:val="21"/>
          <w:szCs w:val="21"/>
          <w:lang w:val="en-US" w:eastAsia="zh-CN"/>
        </w:rPr>
        <w:t>研</w:t>
      </w:r>
      <w:r>
        <w:rPr>
          <w:rFonts w:hint="eastAsia" w:ascii="黑体" w:hAnsi="黑体" w:eastAsia="黑体" w:cs="黑体"/>
          <w:i w:val="0"/>
          <w:iCs w:val="0"/>
          <w:caps w:val="0"/>
          <w:color w:val="333333"/>
          <w:spacing w:val="0"/>
          <w:sz w:val="21"/>
          <w:szCs w:val="21"/>
        </w:rPr>
        <w:t>究[J]. 测绘学报, 2014,000(002):178-185,192.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i w:val="0"/>
          <w:iCs w:val="0"/>
          <w:caps w:val="0"/>
          <w:color w:val="333333"/>
          <w:spacing w:val="0"/>
          <w:sz w:val="21"/>
          <w:szCs w:val="21"/>
        </w:rPr>
      </w:pPr>
      <w:r>
        <w:rPr>
          <w:rFonts w:hint="eastAsia" w:ascii="黑体" w:hAnsi="黑体" w:eastAsia="黑体" w:cs="黑体"/>
          <w:i w:val="0"/>
          <w:iCs w:val="0"/>
          <w:caps w:val="0"/>
          <w:color w:val="333333"/>
          <w:spacing w:val="0"/>
          <w:sz w:val="21"/>
          <w:szCs w:val="21"/>
        </w:rPr>
        <w:t>[6]任建武,孙亚梅. 海底地形及其变化可视模型的研究[J]. 测绘学报(4期):257-261.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黑体" w:hAnsi="黑体" w:eastAsia="黑体" w:cs="黑体"/>
          <w:color w:val="020231"/>
          <w:sz w:val="21"/>
          <w:szCs w:val="21"/>
          <w:lang w:val="en-US" w:eastAsia="zh-CN"/>
        </w:rPr>
      </w:pPr>
      <w:r>
        <w:rPr>
          <w:rFonts w:hint="eastAsia" w:ascii="黑体" w:hAnsi="黑体" w:eastAsia="黑体" w:cs="黑体"/>
          <w:i w:val="0"/>
          <w:iCs w:val="0"/>
          <w:caps w:val="0"/>
          <w:color w:val="333333"/>
          <w:spacing w:val="0"/>
          <w:sz w:val="21"/>
          <w:szCs w:val="21"/>
        </w:rPr>
        <w:t>[7]王伟, 鲁民颉. 基于复杂地貌点云数据构建DEM的参数优选[J]. 测绘技术装备, 2017, 19(002):60-62.</w:t>
      </w:r>
    </w:p>
    <w:sectPr>
      <w:headerReference r:id="rId9" w:type="first"/>
      <w:footerReference r:id="rId12" w:type="first"/>
      <w:headerReference r:id="rId7" w:type="default"/>
      <w:footerReference r:id="rId10" w:type="default"/>
      <w:headerReference r:id="rId8" w:type="even"/>
      <w:footerReference r:id="rId11" w:type="even"/>
      <w:type w:val="continuous"/>
      <w:pgSz w:w="11906" w:h="16838"/>
      <w:pgMar w:top="1440" w:right="1020" w:bottom="1440" w:left="1020" w:header="851" w:footer="992" w:gutter="0"/>
      <w:cols w:equalWidth="0" w:num="2">
        <w:col w:w="4720" w:space="425"/>
        <w:col w:w="4720"/>
      </w:cols>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光报宋_CNKI">
    <w:panose1 w:val="02000500000000000000"/>
    <w:charset w:val="86"/>
    <w:family w:val="auto"/>
    <w:pitch w:val="default"/>
    <w:sig w:usb0="A00002BF" w:usb1="38CF7CFA" w:usb2="00000016" w:usb3="00000000" w:csb0="0004000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color w:val="020231"/>
        <w:sz w:val="18"/>
        <w:szCs w:val="18"/>
      </w:rPr>
      <w:t>收稿日期：2</w:t>
    </w:r>
    <w:r>
      <w:rPr>
        <w:rFonts w:hint="eastAsia"/>
        <w:color w:val="020231"/>
        <w:sz w:val="18"/>
        <w:szCs w:val="18"/>
        <w:lang w:val="en-US" w:eastAsia="zh-CN"/>
      </w:rPr>
      <w:t>02</w:t>
    </w:r>
    <w:r>
      <w:rPr>
        <w:color w:val="020231"/>
        <w:sz w:val="18"/>
        <w:szCs w:val="18"/>
      </w:rPr>
      <w:t>1-1</w:t>
    </w:r>
    <w:r>
      <w:rPr>
        <w:rFonts w:hint="eastAsia"/>
        <w:color w:val="020231"/>
        <w:sz w:val="18"/>
        <w:szCs w:val="18"/>
        <w:lang w:val="en-US" w:eastAsia="zh-CN"/>
      </w:rPr>
      <w:t>0</w:t>
    </w:r>
    <w:r>
      <w:rPr>
        <w:color w:val="020231"/>
        <w:sz w:val="18"/>
        <w:szCs w:val="18"/>
      </w:rPr>
      <w:t>-</w:t>
    </w:r>
    <w:r>
      <w:rPr>
        <w:rFonts w:hint="eastAsia"/>
        <w:color w:val="020231"/>
        <w:sz w:val="18"/>
        <w:szCs w:val="18"/>
        <w:lang w:val="en-US" w:eastAsia="zh-CN"/>
      </w:rPr>
      <w:t>28</w:t>
    </w:r>
    <w:r>
      <w:rPr>
        <w:color w:val="020231"/>
        <w:sz w:val="18"/>
        <w:szCs w:val="18"/>
      </w:rPr>
      <w:t>. 作者简介：</w:t>
    </w:r>
    <w:r>
      <w:rPr>
        <w:rFonts w:hint="eastAsia"/>
        <w:color w:val="020231"/>
        <w:sz w:val="18"/>
        <w:szCs w:val="18"/>
        <w:lang w:val="en-US" w:eastAsia="zh-CN"/>
      </w:rPr>
      <w:t>米唯实</w:t>
    </w:r>
    <w:r>
      <w:rPr>
        <w:color w:val="020231"/>
        <w:sz w:val="18"/>
        <w:szCs w:val="18"/>
      </w:rPr>
      <w:t>（</w:t>
    </w:r>
    <w:r>
      <w:rPr>
        <w:rFonts w:hint="eastAsia"/>
        <w:color w:val="020231"/>
        <w:sz w:val="18"/>
        <w:szCs w:val="18"/>
        <w:lang w:val="en-US" w:eastAsia="zh-CN"/>
      </w:rPr>
      <w:t>2001</w:t>
    </w:r>
    <w:r>
      <w:rPr>
        <w:color w:val="020231"/>
        <w:sz w:val="18"/>
        <w:szCs w:val="18"/>
      </w:rPr>
      <w:t>-），男，</w:t>
    </w:r>
    <w:r>
      <w:rPr>
        <w:rFonts w:hint="eastAsia"/>
        <w:color w:val="020231"/>
        <w:sz w:val="18"/>
        <w:szCs w:val="18"/>
        <w:lang w:val="en-US" w:eastAsia="zh-CN"/>
      </w:rPr>
      <w:t>在读本科</w:t>
    </w:r>
    <w:r>
      <w:rPr>
        <w:color w:val="020231"/>
        <w:sz w:val="18"/>
        <w:szCs w:val="18"/>
      </w:rPr>
      <w:t>生</w:t>
    </w:r>
    <w:r>
      <w:rPr>
        <w:rFonts w:hint="eastAsia"/>
        <w:color w:val="020231"/>
        <w:sz w:val="18"/>
        <w:szCs w:val="18"/>
        <w:lang w:eastAsia="zh-CN"/>
      </w:rPr>
      <w:t>，</w:t>
    </w:r>
    <w:r>
      <w:rPr>
        <w:rFonts w:hint="eastAsia"/>
        <w:color w:val="020231"/>
        <w:sz w:val="18"/>
        <w:szCs w:val="18"/>
        <w:lang w:val="en-US" w:eastAsia="zh-CN"/>
      </w:rPr>
      <w:t>自动化系18级学生</w:t>
    </w:r>
    <w:r>
      <w:rPr>
        <w:color w:val="020231"/>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jc w:val="center"/>
      <w:tblLayout w:type="autofit"/>
      <w:tblCellMar>
        <w:top w:w="0" w:type="dxa"/>
        <w:left w:w="108" w:type="dxa"/>
        <w:bottom w:w="0" w:type="dxa"/>
        <w:right w:w="108" w:type="dxa"/>
      </w:tblCellMar>
    </w:tblPr>
    <w:tblGrid>
      <w:gridCol w:w="1707"/>
      <w:gridCol w:w="4383"/>
      <w:gridCol w:w="1575"/>
    </w:tblGrid>
    <w:tr>
      <w:tblPrEx>
        <w:tblCellMar>
          <w:top w:w="0" w:type="dxa"/>
          <w:left w:w="108" w:type="dxa"/>
          <w:bottom w:w="0" w:type="dxa"/>
          <w:right w:w="108" w:type="dxa"/>
        </w:tblCellMar>
      </w:tblPrEx>
      <w:trPr>
        <w:jc w:val="center"/>
      </w:trPr>
      <w:tc>
        <w:tcPr>
          <w:tcW w:w="1707" w:type="dxa"/>
          <w:noWrap w:val="0"/>
          <w:vAlign w:val="top"/>
        </w:tcPr>
        <w:p>
          <w:pPr>
            <w:autoSpaceDN w:val="0"/>
            <w:jc w:val="center"/>
            <w:rPr>
              <w:color w:val="020231"/>
              <w:sz w:val="18"/>
              <w:szCs w:val="18"/>
            </w:rPr>
          </w:pPr>
          <w:r>
            <w:rPr>
              <w:color w:val="020231"/>
              <w:sz w:val="18"/>
              <w:szCs w:val="18"/>
            </w:rPr>
            <w:t>第45卷</w:t>
          </w:r>
        </w:p>
      </w:tc>
      <w:tc>
        <w:tcPr>
          <w:tcW w:w="4383" w:type="dxa"/>
          <w:noWrap w:val="0"/>
          <w:vAlign w:val="top"/>
        </w:tcPr>
        <w:p>
          <w:pPr>
            <w:autoSpaceDN w:val="0"/>
            <w:jc w:val="center"/>
            <w:rPr>
              <w:rFonts w:eastAsia="楷体_GB2312"/>
              <w:color w:val="020231"/>
              <w:sz w:val="18"/>
              <w:szCs w:val="18"/>
            </w:rPr>
          </w:pPr>
          <w:r>
            <w:rPr>
              <w:rFonts w:eastAsia="楷体_GB2312"/>
              <w:color w:val="020231"/>
              <w:sz w:val="18"/>
              <w:szCs w:val="18"/>
            </w:rPr>
            <w:t>西 安 交 通 大 学 学 报</w:t>
          </w:r>
        </w:p>
      </w:tc>
      <w:tc>
        <w:tcPr>
          <w:tcW w:w="1575" w:type="dxa"/>
          <w:noWrap w:val="0"/>
          <w:vAlign w:val="top"/>
        </w:tcPr>
        <w:p>
          <w:pPr>
            <w:autoSpaceDN w:val="0"/>
            <w:jc w:val="center"/>
            <w:rPr>
              <w:color w:val="020231"/>
              <w:sz w:val="18"/>
              <w:szCs w:val="18"/>
            </w:rPr>
          </w:pPr>
          <w:r>
            <w:rPr>
              <w:color w:val="020231"/>
              <w:sz w:val="18"/>
              <w:szCs w:val="18"/>
            </w:rPr>
            <w:t>Vol.45</w:t>
          </w:r>
        </w:p>
      </w:tc>
    </w:tr>
    <w:tr>
      <w:tblPrEx>
        <w:tblCellMar>
          <w:top w:w="0" w:type="dxa"/>
          <w:left w:w="108" w:type="dxa"/>
          <w:bottom w:w="0" w:type="dxa"/>
          <w:right w:w="108" w:type="dxa"/>
        </w:tblCellMar>
      </w:tblPrEx>
      <w:trPr>
        <w:jc w:val="center"/>
      </w:trPr>
      <w:tc>
        <w:tcPr>
          <w:tcW w:w="1707" w:type="dxa"/>
          <w:noWrap w:val="0"/>
          <w:vAlign w:val="top"/>
        </w:tcPr>
        <w:p>
          <w:pPr>
            <w:autoSpaceDN w:val="0"/>
            <w:jc w:val="center"/>
            <w:rPr>
              <w:color w:val="020231"/>
              <w:sz w:val="18"/>
              <w:szCs w:val="18"/>
            </w:rPr>
          </w:pPr>
          <w:r>
            <w:rPr>
              <w:color w:val="020231"/>
              <w:sz w:val="18"/>
              <w:szCs w:val="18"/>
            </w:rPr>
            <w:t>2011年4期</w:t>
          </w:r>
        </w:p>
      </w:tc>
      <w:tc>
        <w:tcPr>
          <w:tcW w:w="4383" w:type="dxa"/>
          <w:noWrap w:val="0"/>
          <w:vAlign w:val="top"/>
        </w:tcPr>
        <w:p>
          <w:pPr>
            <w:autoSpaceDN w:val="0"/>
            <w:jc w:val="center"/>
            <w:rPr>
              <w:color w:val="020231"/>
              <w:sz w:val="18"/>
              <w:szCs w:val="18"/>
            </w:rPr>
          </w:pPr>
          <w:r>
            <w:rPr>
              <w:color w:val="020231"/>
              <w:sz w:val="18"/>
              <w:szCs w:val="18"/>
            </w:rPr>
            <w:t>JOURNAL OF XI’AN JIAOTONG UNIVERSITY</w:t>
          </w:r>
        </w:p>
      </w:tc>
      <w:tc>
        <w:tcPr>
          <w:tcW w:w="1575" w:type="dxa"/>
          <w:noWrap w:val="0"/>
          <w:vAlign w:val="top"/>
        </w:tcPr>
        <w:p>
          <w:pPr>
            <w:autoSpaceDN w:val="0"/>
            <w:jc w:val="center"/>
            <w:rPr>
              <w:color w:val="020231"/>
              <w:sz w:val="18"/>
              <w:szCs w:val="18"/>
            </w:rPr>
          </w:pPr>
          <w:r>
            <w:rPr>
              <w:color w:val="020231"/>
              <w:sz w:val="18"/>
              <w:szCs w:val="18"/>
            </w:rPr>
            <w:t>Apr.2011</w:t>
          </w:r>
        </w:p>
      </w:tc>
    </w:tr>
  </w:tbl>
  <w:p>
    <w:pPr>
      <w:pStyle w:val="7"/>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rPr>
        <w:rFonts w:hint="default"/>
        <w:lang w:val="en-US" w:eastAsia="zh-CN"/>
      </w:rPr>
    </w:pPr>
    <w:r>
      <w:rPr>
        <w:rFonts w:hint="eastAsia"/>
        <w:lang w:val="en-US" w:eastAsia="zh-CN"/>
      </w:rPr>
      <w:t>第4期</w:t>
    </w:r>
    <w:r>
      <w:rPr>
        <w:rFonts w:hint="eastAsia"/>
        <w:lang w:val="en-US" w:eastAsia="zh-CN"/>
      </w:rPr>
      <w:tab/>
    </w:r>
    <w:r>
      <w:rPr>
        <w:rFonts w:hint="eastAsia"/>
        <w:lang w:val="en-US" w:eastAsia="zh-CN"/>
      </w:rPr>
      <w:t xml:space="preserve">              米唯实：海洋环境建模和可视化研究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页码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r>
      <w:rPr>
        <w:rFonts w:hint="eastAsia"/>
        <w:lang w:val="en-US" w:eastAsia="zh-CN"/>
      </w:rPr>
      <w:t>页码</w:t>
    </w:r>
    <w:r>
      <w:rPr>
        <w:rFonts w:hint="eastAsia"/>
        <w:lang w:val="en-US" w:eastAsia="zh-CN"/>
      </w:rPr>
      <w:tab/>
    </w:r>
    <w:r>
      <w:rPr>
        <w:rFonts w:hint="eastAsia"/>
        <w:lang w:val="en-US" w:eastAsia="zh-CN"/>
      </w:rPr>
      <w:t xml:space="preserve">                  西安交通大学学报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第45卷</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E0E79"/>
    <w:rsid w:val="0BCD45A6"/>
    <w:rsid w:val="130D50D3"/>
    <w:rsid w:val="16291AF5"/>
    <w:rsid w:val="3DB901F0"/>
    <w:rsid w:val="3FAE7938"/>
    <w:rsid w:val="4B04780F"/>
    <w:rsid w:val="4BC26698"/>
    <w:rsid w:val="558E6C11"/>
    <w:rsid w:val="55D01EB4"/>
    <w:rsid w:val="57C617BA"/>
    <w:rsid w:val="6263305C"/>
    <w:rsid w:val="778E0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sz w:val="21"/>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2021-10-22T06:14:00Z</dcterms:created>
  <dc:creator>CUPCAKE</dc:creator>
  <cp:lastModifiedBy>CUPCAKE</cp:lastModifiedBy>
  <dcterms:modified xsi:type="dcterms:W3CDTF">2021-11-18T15:54:33Z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E78E0A2ED4C04976862C94F68A8A2367</vt:lpwstr>
  </property>
</Properties>
</file>