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AI投资学课程案例报告</w:t>
      </w:r>
    </w:p>
    <w:p>
      <w:pPr>
        <w:jc w:val="center"/>
      </w:pPr>
      <w:r>
        <w:t>基于机器学习收益预测的多资产 ETF 组合优化策略研究</w:t>
      </w:r>
    </w:p>
    <w:p>
      <w:r>
        <w:t>重要声明：本报告仅用于《投资学》课程案例研究，不构成任何投资建议。历史表现不代表未来收益。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40"/>
        <w:jc w:val="both"/>
      </w:pPr>
      <w:r>
        <w:t>本文围绕《投资学》课程 AI+投资学案例，研究机器学习收益预测与多资产 ETF 组合优化的结合方式。项目使用 SPY、QQQ、TLT、GLD、VNQ、DBC 六只 ETF，样本区间为 2018-01-02 至 2026-05-29，测试区间为 2024-01-31 至 2026-04-29，共 28 个真实月末调仓期。</w:t>
      </w:r>
    </w:p>
    <w:p>
      <w:pPr>
        <w:ind w:firstLine="440"/>
        <w:jc w:val="both"/>
      </w:pPr>
      <w:r>
        <w:t>研究采用 Smart Predict-then-Optimize（SPO）思想，先构造 11832 行日度建模样本、390 行月末调仓样本和 22 个历史特征，再比较 PtO-Markowitz、SPO+、SPO+换手/L2约束、等权组合、SPY 买入持有和 AI 三档风险组合。最新结果显示，按净收益总收益排序，SPO+换手/L2约束 表现最高，总收益为 106.36%，年化收益为 36.41%；按 Sharpe 排序，6ETF等权 表现最高，Sharpe 为 2.51。</w:t>
      </w:r>
    </w:p>
    <w:p>
      <w:pPr>
        <w:ind w:firstLine="440"/>
        <w:jc w:val="both"/>
      </w:pPr>
      <w:r>
        <w:t>本研究仅用于课程案例分析，不构成任何投资建议。历史表现不代表未来收益。</w:t>
      </w:r>
    </w:p>
    <w:p>
      <w:pPr>
        <w:pStyle w:val="Heading1"/>
      </w:pPr>
      <w:r>
        <w:t>一、研究背景</w:t>
      </w:r>
    </w:p>
    <w:p>
      <w:pPr>
        <w:ind w:firstLine="440"/>
        <w:jc w:val="both"/>
      </w:pPr>
      <w:r>
        <w:t>传统资产配置常采用“先预测、再优化”的两阶段流程：先估计资产收益或风险，再将估计值输入组合优化器。该方法易解释，但模型训练目标与投资组合目标并不完全一致，预测误差可能在权重优化中被放大。</w:t>
      </w:r>
    </w:p>
    <w:p>
      <w:pPr>
        <w:ind w:firstLine="440"/>
        <w:jc w:val="both"/>
      </w:pPr>
      <w:r>
        <w:t>AI 投资研究的价值不只是提升预测准确率，更重要的是把预测信号转化为可执行、可约束、可复盘的投资组合。本案例选择 ETF 而非个股，是因为 ETF 资产类别清晰、流动性较好、分散化属性较强，适合课程中展示多资产配置逻辑。</w:t>
      </w:r>
    </w:p>
    <w:p>
      <w:pPr>
        <w:pStyle w:val="Heading1"/>
      </w:pPr>
      <w:r>
        <w:t>二、文献综述与理论基础</w:t>
      </w:r>
    </w:p>
    <w:p>
      <w:pPr>
        <w:ind w:firstLine="440"/>
        <w:jc w:val="both"/>
      </w:pPr>
      <w:r>
        <w:t>Markowitz 均值-方差理论强调在收益和风险之间权衡，是现代投资组合理论的基础。本案例中的 PtO-Markowitz 基准使用收益预测和协方差估计求解最大 Sharpe 的长期只多组合。</w:t>
      </w:r>
    </w:p>
    <w:p>
      <w:pPr>
        <w:ind w:firstLine="440"/>
        <w:jc w:val="both"/>
      </w:pPr>
      <w:r>
        <w:t>Predict-then-Optimize（PtO）范式先训练预测模型，再把预测值输入优化器。Smart Predict-then-Optimize（SPO）进一步强调预测模型应服务于最终优化决策，SPO+ 损失函数通过决策后果约束预测训练，使模型关注“预测错误对投资组合的影响”。</w:t>
      </w:r>
    </w:p>
    <w:p>
      <w:pPr>
        <w:ind w:firstLine="440"/>
        <w:jc w:val="both"/>
      </w:pPr>
      <w:r>
        <w:t>金融场景中的 AI 模型还必须处理过拟合、数据泄露、交易成本、换手率和可解释性问题。因此，本报告把训练/验证/测试划分、月末调仓、成本扣除和程序化校验纳入核心评价。</w:t>
      </w:r>
    </w:p>
    <w:p>
      <w:pPr>
        <w:pStyle w:val="Heading1"/>
      </w:pPr>
      <w:r>
        <w:t>三、数据来源与特征工程</w:t>
      </w:r>
    </w:p>
    <w:p>
      <w:pPr>
        <w:ind w:firstLine="440"/>
        <w:jc w:val="both"/>
      </w:pPr>
      <w:r>
        <w:t>数据来自 Yahoo Finance，通过 yfinance 或 Yahoo Chart API 获取日度价格。资产池覆盖股票、债券、黄金、房地产和商品五类风险来源。</w:t>
      </w:r>
    </w:p>
    <w:p>
      <w:pPr>
        <w:ind w:firstLine="440"/>
        <w:jc w:val="both"/>
      </w:pPr>
      <w:r>
        <w:t>特征工程采用未来 21 个交易日收益作为持有期标签。训练、验证、测试切分规则为：train &lt;= 2022-12-31, valid &lt;= 2023-12-31, test &gt;= 2024-01-01。所有特征只使用样本日及以前可观察到的信息，避免未来函数。</w:t>
      </w:r>
    </w:p>
    <w:p>
      <w:pPr>
        <w:ind w:firstLine="440"/>
        <w:jc w:val="both"/>
      </w:pPr>
      <w:r>
        <w:t>模型特征包括 22 个历史变量，覆盖 5/20/60/120 日收益率、20/60 日波动率、下行波动率、回撤、均线比率、成交量变化、风险调整收益、横截面排名和标准化动量等。核心标签是 label_outperform_median_21d，即未来 21 个交易日是否跑赢六只 ETF 的横截面中位数。</w:t>
      </w:r>
    </w:p>
    <w:p>
      <w:r>
        <w:t>表1 ETF 资产池说明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ETF</w:t>
            </w:r>
          </w:p>
        </w:tc>
        <w:tc>
          <w:tcPr>
            <w:tcW w:type="dxa" w:w="2880"/>
            <w:shd w:fill="D9EAF7"/>
          </w:tcPr>
          <w:p>
            <w:r>
              <w:t>资产类别</w:t>
            </w:r>
          </w:p>
        </w:tc>
        <w:tc>
          <w:tcPr>
            <w:tcW w:type="dxa" w:w="2880"/>
            <w:shd w:fill="D9EAF7"/>
          </w:tcPr>
          <w:p>
            <w:r>
              <w:t>组合角色</w:t>
            </w:r>
          </w:p>
        </w:tc>
      </w:tr>
      <w:tr>
        <w:tc>
          <w:tcPr>
            <w:tcW w:type="dxa" w:w="2880"/>
          </w:tcPr>
          <w:p>
            <w:r>
              <w:t>SPY</w:t>
            </w:r>
          </w:p>
        </w:tc>
        <w:tc>
          <w:tcPr>
            <w:tcW w:type="dxa" w:w="2880"/>
          </w:tcPr>
          <w:p>
            <w:r>
              <w:t>美国大盘股票</w:t>
            </w:r>
          </w:p>
        </w:tc>
        <w:tc>
          <w:tcPr>
            <w:tcW w:type="dxa" w:w="2880"/>
          </w:tcPr>
          <w:p>
            <w:r>
              <w:t>权益市场代表与买入持有基准</w:t>
            </w:r>
          </w:p>
        </w:tc>
      </w:tr>
      <w:tr>
        <w:tc>
          <w:tcPr>
            <w:tcW w:type="dxa" w:w="2880"/>
          </w:tcPr>
          <w:p>
            <w:r>
              <w:t>QQQ</w:t>
            </w:r>
          </w:p>
        </w:tc>
        <w:tc>
          <w:tcPr>
            <w:tcW w:type="dxa" w:w="2880"/>
          </w:tcPr>
          <w:p>
            <w:r>
              <w:t>科技成长股票</w:t>
            </w:r>
          </w:p>
        </w:tc>
        <w:tc>
          <w:tcPr>
            <w:tcW w:type="dxa" w:w="2880"/>
          </w:tcPr>
          <w:p>
            <w:r>
              <w:t>高成长、高波动权益资产</w:t>
            </w:r>
          </w:p>
        </w:tc>
      </w:tr>
      <w:tr>
        <w:tc>
          <w:tcPr>
            <w:tcW w:type="dxa" w:w="2880"/>
          </w:tcPr>
          <w:p>
            <w:r>
              <w:t>TLT</w:t>
            </w:r>
          </w:p>
        </w:tc>
        <w:tc>
          <w:tcPr>
            <w:tcW w:type="dxa" w:w="2880"/>
          </w:tcPr>
          <w:p>
            <w:r>
              <w:t>长期美国国债</w:t>
            </w:r>
          </w:p>
        </w:tc>
        <w:tc>
          <w:tcPr>
            <w:tcW w:type="dxa" w:w="2880"/>
          </w:tcPr>
          <w:p>
            <w:r>
              <w:t>利率敏感型债券资产</w:t>
            </w:r>
          </w:p>
        </w:tc>
      </w:tr>
      <w:tr>
        <w:tc>
          <w:tcPr>
            <w:tcW w:type="dxa" w:w="2880"/>
          </w:tcPr>
          <w:p>
            <w:r>
              <w:t>GLD</w:t>
            </w:r>
          </w:p>
        </w:tc>
        <w:tc>
          <w:tcPr>
            <w:tcW w:type="dxa" w:w="2880"/>
          </w:tcPr>
          <w:p>
            <w:r>
              <w:t>黄金</w:t>
            </w:r>
          </w:p>
        </w:tc>
        <w:tc>
          <w:tcPr>
            <w:tcW w:type="dxa" w:w="2880"/>
          </w:tcPr>
          <w:p>
            <w:r>
              <w:t>避险和通胀对冲资产</w:t>
            </w:r>
          </w:p>
        </w:tc>
      </w:tr>
      <w:tr>
        <w:tc>
          <w:tcPr>
            <w:tcW w:type="dxa" w:w="2880"/>
          </w:tcPr>
          <w:p>
            <w:r>
              <w:t>VNQ</w:t>
            </w:r>
          </w:p>
        </w:tc>
        <w:tc>
          <w:tcPr>
            <w:tcW w:type="dxa" w:w="2880"/>
          </w:tcPr>
          <w:p>
            <w:r>
              <w:t>房地产 REITs</w:t>
            </w:r>
          </w:p>
        </w:tc>
        <w:tc>
          <w:tcPr>
            <w:tcW w:type="dxa" w:w="2880"/>
          </w:tcPr>
          <w:p>
            <w:r>
              <w:t>房地产与利率周期暴露</w:t>
            </w:r>
          </w:p>
        </w:tc>
      </w:tr>
      <w:tr>
        <w:tc>
          <w:tcPr>
            <w:tcW w:type="dxa" w:w="2880"/>
          </w:tcPr>
          <w:p>
            <w:r>
              <w:t>DBC</w:t>
            </w:r>
          </w:p>
        </w:tc>
        <w:tc>
          <w:tcPr>
            <w:tcW w:type="dxa" w:w="2880"/>
          </w:tcPr>
          <w:p>
            <w:r>
              <w:t>大宗商品</w:t>
            </w:r>
          </w:p>
        </w:tc>
        <w:tc>
          <w:tcPr>
            <w:tcW w:type="dxa" w:w="2880"/>
          </w:tcPr>
          <w:p>
            <w:r>
              <w:t>商品周期和通胀暴露</w:t>
            </w:r>
          </w:p>
        </w:tc>
      </w:tr>
    </w:tbl>
    <w:p/>
    <w:p>
      <w:pPr>
        <w:pStyle w:val="Heading1"/>
      </w:pPr>
      <w:r>
        <w:t>四、模型配置方法</w:t>
      </w:r>
    </w:p>
    <w:p>
      <w:pPr>
        <w:ind w:firstLine="440"/>
        <w:jc w:val="both"/>
      </w:pPr>
      <w:r>
        <w:t>SPO 复现使用环境 etf-spo，实现位于 src/reproduce_spo_paper.py。优化器为 MaxReturn long-only LP solved exactly by custom PyEPO optModel，损失函数为 PyEPO SPOPlus，预测器为 linear PyTorch model。StandardScaler 只在训练集拟合，验证集和测试集仅做 transform，降低数据泄露风险。</w:t>
      </w:r>
    </w:p>
    <w:p>
      <w:pPr>
        <w:ind w:firstLine="440"/>
        <w:jc w:val="both"/>
      </w:pPr>
      <w:r>
        <w:t>PtO 基准对每只 ETF 分别训练 Ridge 回归模型，配置为 StandardScaler + Ridge(alpha=1.0)，预测目标为未来 21 日收益。随后将预测收益输入 Markowitz 最大 Sharpe 优化器，约束为 long-only、权重和为 1。</w:t>
      </w:r>
    </w:p>
    <w:p>
      <w:pPr>
        <w:ind w:firstLine="440"/>
        <w:jc w:val="both"/>
      </w:pPr>
      <w:r>
        <w:t>SPO+ 模型采用 PyTorch 线性收益预测器，默认训练 240 轮，batch size 为 16，学习率为 0.01，优化器为 Adam，weight decay 为 1e-4。训练过程中使用 PyEPO 的 SPOPlus 损失，并记录训练损失、验证 MSE 和验证 Rank IC。</w:t>
      </w:r>
    </w:p>
    <w:p>
      <w:pPr>
        <w:ind w:firstLine="440"/>
        <w:jc w:val="both"/>
      </w:pPr>
      <w:r>
        <w:t>策略配置包括三类：基础 SPO+ 不加入交易惩罚；SPO+交易费版本加入 0.5% 成本参数；SPO+换手/L2约束版本设置交易费参数 0.5%、换手惩罚 lambda=0.42、L2 权重正则=0.005，用于缓解过度集中和频繁调仓。</w:t>
      </w:r>
    </w:p>
    <w:p>
      <w:r>
        <w:t>表2 预测层模型指标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模型</w:t>
            </w:r>
          </w:p>
        </w:tc>
        <w:tc>
          <w:tcPr>
            <w:tcW w:type="dxa" w:w="1440"/>
            <w:shd w:fill="D9EAF7"/>
          </w:tcPr>
          <w:p>
            <w:r>
              <w:t>样本</w:t>
            </w:r>
          </w:p>
        </w:tc>
        <w:tc>
          <w:tcPr>
            <w:tcW w:type="dxa" w:w="1440"/>
            <w:shd w:fill="D9EAF7"/>
          </w:tcPr>
          <w:p>
            <w:r>
              <w:t>RMSE</w:t>
            </w:r>
          </w:p>
        </w:tc>
        <w:tc>
          <w:tcPr>
            <w:tcW w:type="dxa" w:w="1440"/>
            <w:shd w:fill="D9EAF7"/>
          </w:tcPr>
          <w:p>
            <w:r>
              <w:t>MAE</w:t>
            </w:r>
          </w:p>
        </w:tc>
        <w:tc>
          <w:tcPr>
            <w:tcW w:type="dxa" w:w="1440"/>
            <w:shd w:fill="D9EAF7"/>
          </w:tcPr>
          <w:p>
            <w:r>
              <w:t>R2</w:t>
            </w:r>
          </w:p>
        </w:tc>
        <w:tc>
          <w:tcPr>
            <w:tcW w:type="dxa" w:w="1440"/>
            <w:shd w:fill="D9EAF7"/>
          </w:tcPr>
          <w:p>
            <w:r>
              <w:t>Rank IC</w:t>
            </w:r>
          </w:p>
        </w:tc>
      </w:tr>
      <w:tr>
        <w:tc>
          <w:tcPr>
            <w:tcW w:type="dxa" w:w="1440"/>
          </w:tcPr>
          <w:p>
            <w:r>
              <w:t>pto_ridge_markowitz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0.0634</w:t>
            </w:r>
          </w:p>
        </w:tc>
        <w:tc>
          <w:tcPr>
            <w:tcW w:type="dxa" w:w="1440"/>
          </w:tcPr>
          <w:p>
            <w:r>
              <w:t>0.0534</w:t>
            </w:r>
          </w:p>
        </w:tc>
        <w:tc>
          <w:tcPr>
            <w:tcW w:type="dxa" w:w="1440"/>
          </w:tcPr>
          <w:p>
            <w:r>
              <w:t>-0.6168</w:t>
            </w:r>
          </w:p>
        </w:tc>
        <w:tc>
          <w:tcPr>
            <w:tcW w:type="dxa" w:w="1440"/>
          </w:tcPr>
          <w:p>
            <w:r>
              <w:t>-0.0952</w:t>
            </w:r>
          </w:p>
        </w:tc>
      </w:tr>
      <w:tr>
        <w:tc>
          <w:tcPr>
            <w:tcW w:type="dxa" w:w="1440"/>
          </w:tcPr>
          <w:p>
            <w:r>
              <w:t>pyepo_spo_plus_linear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1.4209</w:t>
            </w:r>
          </w:p>
        </w:tc>
        <w:tc>
          <w:tcPr>
            <w:tcW w:type="dxa" w:w="1440"/>
          </w:tcPr>
          <w:p>
            <w:r>
              <w:t>1.0903</w:t>
            </w:r>
          </w:p>
        </w:tc>
        <w:tc>
          <w:tcPr>
            <w:tcW w:type="dxa" w:w="1440"/>
          </w:tcPr>
          <w:p>
            <w:r>
              <w:t>-811.6460</w:t>
            </w:r>
          </w:p>
        </w:tc>
        <w:tc>
          <w:tcPr>
            <w:tcW w:type="dxa" w:w="1440"/>
          </w:tcPr>
          <w:p>
            <w:r>
              <w:t>-0.2048</w:t>
            </w:r>
          </w:p>
        </w:tc>
      </w:tr>
      <w:tr>
        <w:tc>
          <w:tcPr>
            <w:tcW w:type="dxa" w:w="1440"/>
          </w:tcPr>
          <w:p>
            <w:r>
              <w:t>pto_ridge_markowitz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0.0547</w:t>
            </w:r>
          </w:p>
        </w:tc>
        <w:tc>
          <w:tcPr>
            <w:tcW w:type="dxa" w:w="1440"/>
          </w:tcPr>
          <w:p>
            <w:r>
              <w:t>0.0407</w:t>
            </w:r>
          </w:p>
        </w:tc>
        <w:tc>
          <w:tcPr>
            <w:tcW w:type="dxa" w:w="1440"/>
          </w:tcPr>
          <w:p>
            <w:r>
              <w:t>-0.4967</w:t>
            </w:r>
          </w:p>
        </w:tc>
        <w:tc>
          <w:tcPr>
            <w:tcW w:type="dxa" w:w="1440"/>
          </w:tcPr>
          <w:p>
            <w:r>
              <w:t>-0.0041</w:t>
            </w:r>
          </w:p>
        </w:tc>
      </w:tr>
      <w:tr>
        <w:tc>
          <w:tcPr>
            <w:tcW w:type="dxa" w:w="1440"/>
          </w:tcPr>
          <w:p>
            <w:r>
              <w:t>pyepo_spo_plus_linear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1.6039</w:t>
            </w:r>
          </w:p>
        </w:tc>
        <w:tc>
          <w:tcPr>
            <w:tcW w:type="dxa" w:w="1440"/>
          </w:tcPr>
          <w:p>
            <w:r>
              <w:t>1.2697</w:t>
            </w:r>
          </w:p>
        </w:tc>
        <w:tc>
          <w:tcPr>
            <w:tcW w:type="dxa" w:w="1440"/>
          </w:tcPr>
          <w:p>
            <w:r>
              <w:t>-1285.5028</w:t>
            </w:r>
          </w:p>
        </w:tc>
        <w:tc>
          <w:tcPr>
            <w:tcW w:type="dxa" w:w="1440"/>
          </w:tcPr>
          <w:p>
            <w:r>
              <w:t>-0.0041</w:t>
            </w:r>
          </w:p>
        </w:tc>
      </w:tr>
    </w:tbl>
    <w:p/>
    <w:p>
      <w:pPr>
        <w:pStyle w:val="Heading1"/>
      </w:pPr>
      <w:r>
        <w:t>五、回测方法</w:t>
      </w:r>
    </w:p>
    <w:p>
      <w:pPr>
        <w:ind w:firstLine="440"/>
        <w:jc w:val="both"/>
      </w:pPr>
      <w:r>
        <w:t>回测使用每月最后一个可交易日作为调仓日，测试区间为 2024-01-31 至 2026-04-29，共 28 个月。每期根据当月预测分数生成权重，再用未来 21 个交易日真实收益计算组合收益。</w:t>
      </w:r>
    </w:p>
    <w:p>
      <w:pPr>
        <w:ind w:firstLine="440"/>
        <w:jc w:val="both"/>
      </w:pPr>
      <w:r>
        <w:t>每个策略均满足 long-only、权重和为 1 的基本约束。SPO 基础版本在无额外约束时把权重集中到预测分数最高的资产；加入换手和 L2 正则后，通过 SLSQP 在收益、交易成本、换手惩罚和分散化之间权衡。</w:t>
      </w:r>
    </w:p>
    <w:p>
      <w:pPr>
        <w:ind w:firstLine="440"/>
        <w:jc w:val="both"/>
      </w:pPr>
      <w:r>
        <w:t>净收益按公式 net_return = gross_return - 0.005 × turnover 计算，其中 turnover 为本期权重与上期权重差的绝对值之和。绩效指标包括总收益、年化收益、年化波动率、Sharpe、Sortino、最大回撤、胜率、平均换手率和最终财富。</w:t>
      </w:r>
    </w:p>
    <w:p>
      <w:pPr>
        <w:pStyle w:val="Heading1"/>
      </w:pPr>
      <w:r>
        <w:t>六、AI 风险组合设计</w:t>
      </w:r>
    </w:p>
    <w:p>
      <w:pPr>
        <w:ind w:firstLine="440"/>
        <w:jc w:val="both"/>
      </w:pPr>
      <w:r>
        <w:t>AI 决策层不是直接给出无法校验的文字建议，而是采用“结构化提示 + 程序化优化回退”的方式。输入包括 SPO 候选组合、ETF 单体风险收益指标、最新 SPO 排名和三档风险偏好约束。</w:t>
      </w:r>
    </w:p>
    <w:p>
      <w:pPr>
        <w:ind w:firstLine="440"/>
        <w:jc w:val="both"/>
      </w:pPr>
      <w:r>
        <w:t>低风险、中风险、高风险组合分别设置年化波动上限 10%、15%、22%，单只 ETF 权重上限 35%、45%、60%，均要求 long-only 且权重和为 1。若优化结果不能满足风险约束，则回退到最低波动组合，并在结果中记录 fallback_reason。</w:t>
      </w:r>
    </w:p>
    <w:p>
      <w:pPr>
        <w:ind w:firstLine="440"/>
        <w:jc w:val="both"/>
      </w:pPr>
      <w:r>
        <w:t>最近决策日为 2026-04-29。低风险组合配置 QQQ 35%、VNQ 30%、DBC 35%；中风险组合配置 QQQ 45%、VNQ 10%、DBC 45%；高风险组合配置 QQQ 40%、DBC 60%。这些权重均通过程序化权重和、非负、单只 ETF 上限和波动约束校验。</w:t>
      </w:r>
    </w:p>
    <w:p>
      <w:r>
        <w:t>表3 AI 三档风险组合约束与最近权重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风险档位</w:t>
            </w:r>
          </w:p>
        </w:tc>
        <w:tc>
          <w:tcPr>
            <w:tcW w:type="dxa" w:w="1440"/>
            <w:shd w:fill="D9EAF7"/>
          </w:tcPr>
          <w:p>
            <w:r>
              <w:t>波动上限</w:t>
            </w:r>
          </w:p>
        </w:tc>
        <w:tc>
          <w:tcPr>
            <w:tcW w:type="dxa" w:w="1440"/>
            <w:shd w:fill="D9EAF7"/>
          </w:tcPr>
          <w:p>
            <w:r>
              <w:t>单只ETF上限</w:t>
            </w:r>
          </w:p>
        </w:tc>
        <w:tc>
          <w:tcPr>
            <w:tcW w:type="dxa" w:w="1440"/>
            <w:shd w:fill="D9EAF7"/>
          </w:tcPr>
          <w:p>
            <w:r>
              <w:t>最近决策日权重</w:t>
            </w:r>
          </w:p>
        </w:tc>
        <w:tc>
          <w:tcPr>
            <w:tcW w:type="dxa" w:w="1440"/>
            <w:shd w:fill="D9EAF7"/>
          </w:tcPr>
          <w:p>
            <w:r>
              <w:t>预期年化收益</w:t>
            </w:r>
          </w:p>
        </w:tc>
        <w:tc>
          <w:tcPr>
            <w:tcW w:type="dxa" w:w="1440"/>
            <w:shd w:fill="D9EAF7"/>
          </w:tcPr>
          <w:p>
            <w:r>
              <w:t>预期年化波动</w:t>
            </w:r>
          </w:p>
        </w:tc>
      </w:tr>
      <w:tr>
        <w:tc>
          <w:tcPr>
            <w:tcW w:type="dxa" w:w="1440"/>
          </w:tcPr>
          <w:p>
            <w:r>
              <w:t>低风险</w:t>
            </w:r>
          </w:p>
        </w:tc>
        <w:tc>
          <w:tcPr>
            <w:tcW w:type="dxa" w:w="1440"/>
          </w:tcPr>
          <w:p>
            <w:r>
              <w:t>10.00%</w:t>
            </w:r>
          </w:p>
        </w:tc>
        <w:tc>
          <w:tcPr>
            <w:tcW w:type="dxa" w:w="1440"/>
          </w:tcPr>
          <w:p>
            <w:r>
              <w:t>35.00%</w:t>
            </w:r>
          </w:p>
        </w:tc>
        <w:tc>
          <w:tcPr>
            <w:tcW w:type="dxa" w:w="1440"/>
          </w:tcPr>
          <w:p>
            <w:r>
              <w:t>QQQ 35%；VNQ 30%；DBC 35%</w:t>
            </w:r>
          </w:p>
        </w:tc>
        <w:tc>
          <w:tcPr>
            <w:tcW w:type="dxa" w:w="1440"/>
          </w:tcPr>
          <w:p>
            <w:r>
              <w:t>38.53%</w:t>
            </w:r>
          </w:p>
        </w:tc>
        <w:tc>
          <w:tcPr>
            <w:tcW w:type="dxa" w:w="1440"/>
          </w:tcPr>
          <w:p>
            <w:r>
              <w:t>9.24%</w:t>
            </w:r>
          </w:p>
        </w:tc>
      </w:tr>
      <w:tr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t>15.00%</w:t>
            </w:r>
          </w:p>
        </w:tc>
        <w:tc>
          <w:tcPr>
            <w:tcW w:type="dxa" w:w="1440"/>
          </w:tcPr>
          <w:p>
            <w:r>
              <w:t>45.00%</w:t>
            </w:r>
          </w:p>
        </w:tc>
        <w:tc>
          <w:tcPr>
            <w:tcW w:type="dxa" w:w="1440"/>
          </w:tcPr>
          <w:p>
            <w:r>
              <w:t>QQQ 45%；VNQ 10%；DBC 45%</w:t>
            </w:r>
          </w:p>
        </w:tc>
        <w:tc>
          <w:tcPr>
            <w:tcW w:type="dxa" w:w="1440"/>
          </w:tcPr>
          <w:p>
            <w:r>
              <w:t>46.44%</w:t>
            </w:r>
          </w:p>
        </w:tc>
        <w:tc>
          <w:tcPr>
            <w:tcW w:type="dxa" w:w="1440"/>
          </w:tcPr>
          <w:p>
            <w:r>
              <w:t>10.56%</w:t>
            </w:r>
          </w:p>
        </w:tc>
      </w:tr>
      <w:tr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t>22.00%</w:t>
            </w:r>
          </w:p>
        </w:tc>
        <w:tc>
          <w:tcPr>
            <w:tcW w:type="dxa" w:w="1440"/>
          </w:tcPr>
          <w:p>
            <w:r>
              <w:t>60.00%</w:t>
            </w:r>
          </w:p>
        </w:tc>
        <w:tc>
          <w:tcPr>
            <w:tcW w:type="dxa" w:w="1440"/>
          </w:tcPr>
          <w:p>
            <w:r>
              <w:t>QQQ 40%；DBC 60%</w:t>
            </w:r>
          </w:p>
        </w:tc>
        <w:tc>
          <w:tcPr>
            <w:tcW w:type="dxa" w:w="1440"/>
          </w:tcPr>
          <w:p>
            <w:r>
              <w:t>53.28%</w:t>
            </w:r>
          </w:p>
        </w:tc>
        <w:tc>
          <w:tcPr>
            <w:tcW w:type="dxa" w:w="1440"/>
          </w:tcPr>
          <w:p>
            <w:r>
              <w:t>12.08%</w:t>
            </w:r>
          </w:p>
        </w:tc>
      </w:tr>
    </w:tbl>
    <w:p/>
    <w:p>
      <w:pPr>
        <w:pStyle w:val="Heading1"/>
      </w:pPr>
      <w:r>
        <w:t>七、实证结果</w:t>
      </w:r>
    </w:p>
    <w:p>
      <w:pPr>
        <w:ind w:firstLine="440"/>
        <w:jc w:val="both"/>
      </w:pPr>
      <w:r>
        <w:t>最新净收益结果显示，SPO+换手/L2约束组合总收益为 106.36%、年化收益为 36.41%、Sharpe 为 2.00，在总收益维度表现最突出。这说明在本次更新后，加入换手惩罚和 L2 正则并没有削弱收益，反而在该测试期取得了更高的净值增长。</w:t>
      </w:r>
    </w:p>
    <w:p>
      <w:pPr>
        <w:ind w:firstLine="440"/>
        <w:jc w:val="both"/>
      </w:pPr>
      <w:r>
        <w:t>AI 低风险组合净收益为 43.62%，年化波动为 7.49%，Sharpe 为 2.24；AI 中风险组合净收益为 38.08%，年化波动为 9.40%，Sharpe 为 1.58；AI 高风险组合净收益为 30.36%，最大回撤为 -10.86%。三档组合呈现出风险约束越宽、资产集中度越高的特征。</w:t>
      </w:r>
    </w:p>
    <w:p>
      <w:pPr>
        <w:ind w:firstLine="440"/>
        <w:jc w:val="both"/>
      </w:pPr>
      <w:r>
        <w:t>预测层指标提醒我们不能只看回测收益。SPO+ 线性模型在 RMSE、MAE、R2 等点预测指标上并不优于 Ridge，测试 Rank IC 也接近零；但 SPO 方法关注的是优化后的决策质量。因此报告结论应强调“样本期组合表现”，而不是宣称模型具备稳定预测优势。</w:t>
      </w:r>
    </w:p>
    <w:p>
      <w:r>
        <w:t>表4 主要策略净收益回测指标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AF7"/>
          </w:tcPr>
          <w:p>
            <w:r>
              <w:t>策略</w:t>
            </w:r>
          </w:p>
        </w:tc>
        <w:tc>
          <w:tcPr>
            <w:tcW w:type="dxa" w:w="1080"/>
            <w:shd w:fill="D9EAF7"/>
          </w:tcPr>
          <w:p>
            <w:r>
              <w:t>口径</w:t>
            </w:r>
          </w:p>
        </w:tc>
        <w:tc>
          <w:tcPr>
            <w:tcW w:type="dxa" w:w="1080"/>
            <w:shd w:fill="D9EAF7"/>
          </w:tcPr>
          <w:p>
            <w:r>
              <w:t>总收益</w:t>
            </w:r>
          </w:p>
        </w:tc>
        <w:tc>
          <w:tcPr>
            <w:tcW w:type="dxa" w:w="1080"/>
            <w:shd w:fill="D9EAF7"/>
          </w:tcPr>
          <w:p>
            <w:r>
              <w:t>年化收益</w:t>
            </w:r>
          </w:p>
        </w:tc>
        <w:tc>
          <w:tcPr>
            <w:tcW w:type="dxa" w:w="1080"/>
            <w:shd w:fill="D9EAF7"/>
          </w:tcPr>
          <w:p>
            <w:r>
              <w:t>年化波动</w:t>
            </w:r>
          </w:p>
        </w:tc>
        <w:tc>
          <w:tcPr>
            <w:tcW w:type="dxa" w:w="1080"/>
            <w:shd w:fill="D9EAF7"/>
          </w:tcPr>
          <w:p>
            <w:r>
              <w:t>Sharpe</w:t>
            </w:r>
          </w:p>
        </w:tc>
        <w:tc>
          <w:tcPr>
            <w:tcW w:type="dxa" w:w="1080"/>
            <w:shd w:fill="D9EAF7"/>
          </w:tcPr>
          <w:p>
            <w:r>
              <w:t>最大回撤</w:t>
            </w:r>
          </w:p>
        </w:tc>
        <w:tc>
          <w:tcPr>
            <w:tcW w:type="dxa" w:w="1080"/>
            <w:shd w:fill="D9EAF7"/>
          </w:tcPr>
          <w:p>
            <w:r>
              <w:t>平均换手</w:t>
            </w:r>
          </w:p>
        </w:tc>
      </w:tr>
      <w:tr>
        <w:tc>
          <w:tcPr>
            <w:tcW w:type="dxa" w:w="1080"/>
          </w:tcPr>
          <w:p>
            <w:r>
              <w:t>SPO+换手/L2约束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106.36%</w:t>
            </w:r>
          </w:p>
        </w:tc>
        <w:tc>
          <w:tcPr>
            <w:tcW w:type="dxa" w:w="1080"/>
          </w:tcPr>
          <w:p>
            <w:r>
              <w:t>36.41%</w:t>
            </w:r>
          </w:p>
        </w:tc>
        <w:tc>
          <w:tcPr>
            <w:tcW w:type="dxa" w:w="1080"/>
          </w:tcPr>
          <w:p>
            <w:r>
              <w:t>18.16%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-7.38%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</w:tr>
      <w:tr>
        <w:tc>
          <w:tcPr>
            <w:tcW w:type="dxa" w:w="1080"/>
          </w:tcPr>
          <w:p>
            <w:r>
              <w:t>SPO+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55.63%</w:t>
            </w:r>
          </w:p>
        </w:tc>
        <w:tc>
          <w:tcPr>
            <w:tcW w:type="dxa" w:w="1080"/>
          </w:tcPr>
          <w:p>
            <w:r>
              <w:t>20.87%</w:t>
            </w:r>
          </w:p>
        </w:tc>
        <w:tc>
          <w:tcPr>
            <w:tcW w:type="dxa" w:w="1080"/>
          </w:tcPr>
          <w:p>
            <w:r>
              <w:t>18.14%</w:t>
            </w:r>
          </w:p>
        </w:tc>
        <w:tc>
          <w:tcPr>
            <w:tcW w:type="dxa" w:w="1080"/>
          </w:tcPr>
          <w:p>
            <w:r>
              <w:t>1.15</w:t>
            </w:r>
          </w:p>
        </w:tc>
        <w:tc>
          <w:tcPr>
            <w:tcW w:type="dxa" w:w="1080"/>
          </w:tcPr>
          <w:p>
            <w:r>
              <w:t>-10.81%</w:t>
            </w:r>
          </w:p>
        </w:tc>
        <w:tc>
          <w:tcPr>
            <w:tcW w:type="dxa" w:w="1080"/>
          </w:tcPr>
          <w:p>
            <w:r>
              <w:t>1.32</w:t>
            </w:r>
          </w:p>
        </w:tc>
      </w:tr>
      <w:tr>
        <w:tc>
          <w:tcPr>
            <w:tcW w:type="dxa" w:w="1080"/>
          </w:tcPr>
          <w:p>
            <w:r>
              <w:t>AI低风险组合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43.62%</w:t>
            </w:r>
          </w:p>
        </w:tc>
        <w:tc>
          <w:tcPr>
            <w:tcW w:type="dxa" w:w="1080"/>
          </w:tcPr>
          <w:p>
            <w:r>
              <w:t>16.78%</w:t>
            </w:r>
          </w:p>
        </w:tc>
        <w:tc>
          <w:tcPr>
            <w:tcW w:type="dxa" w:w="1080"/>
          </w:tcPr>
          <w:p>
            <w:r>
              <w:t>7.49%</w:t>
            </w:r>
          </w:p>
        </w:tc>
        <w:tc>
          <w:tcPr>
            <w:tcW w:type="dxa" w:w="1080"/>
          </w:tcPr>
          <w:p>
            <w:r>
              <w:t>2.24</w:t>
            </w:r>
          </w:p>
        </w:tc>
        <w:tc>
          <w:tcPr>
            <w:tcW w:type="dxa" w:w="1080"/>
          </w:tcPr>
          <w:p>
            <w:r>
              <w:t>-5.66%</w:t>
            </w:r>
          </w:p>
        </w:tc>
        <w:tc>
          <w:tcPr>
            <w:tcW w:type="dxa" w:w="1080"/>
          </w:tcPr>
          <w:p>
            <w:r>
              <w:t>0.69</w:t>
            </w:r>
          </w:p>
        </w:tc>
      </w:tr>
      <w:tr>
        <w:tc>
          <w:tcPr>
            <w:tcW w:type="dxa" w:w="1080"/>
          </w:tcPr>
          <w:p>
            <w:r>
              <w:t>AI中风险组合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38.08%</w:t>
            </w:r>
          </w:p>
        </w:tc>
        <w:tc>
          <w:tcPr>
            <w:tcW w:type="dxa" w:w="1080"/>
          </w:tcPr>
          <w:p>
            <w:r>
              <w:t>14.83%</w:t>
            </w:r>
          </w:p>
        </w:tc>
        <w:tc>
          <w:tcPr>
            <w:tcW w:type="dxa" w:w="1080"/>
          </w:tcPr>
          <w:p>
            <w:r>
              <w:t>9.40%</w:t>
            </w:r>
          </w:p>
        </w:tc>
        <w:tc>
          <w:tcPr>
            <w:tcW w:type="dxa" w:w="1080"/>
          </w:tcPr>
          <w:p>
            <w:r>
              <w:t>1.58</w:t>
            </w:r>
          </w:p>
        </w:tc>
        <w:tc>
          <w:tcPr>
            <w:tcW w:type="dxa" w:w="1080"/>
          </w:tcPr>
          <w:p>
            <w:r>
              <w:t>-7.52%</w:t>
            </w:r>
          </w:p>
        </w:tc>
        <w:tc>
          <w:tcPr>
            <w:tcW w:type="dxa" w:w="1080"/>
          </w:tcPr>
          <w:p>
            <w:r>
              <w:t>0.91</w:t>
            </w:r>
          </w:p>
        </w:tc>
      </w:tr>
      <w:tr>
        <w:tc>
          <w:tcPr>
            <w:tcW w:type="dxa" w:w="1080"/>
          </w:tcPr>
          <w:p>
            <w:r>
              <w:t>AI高风险组合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30.36%</w:t>
            </w:r>
          </w:p>
        </w:tc>
        <w:tc>
          <w:tcPr>
            <w:tcW w:type="dxa" w:w="1080"/>
          </w:tcPr>
          <w:p>
            <w:r>
              <w:t>12.03%</w:t>
            </w:r>
          </w:p>
        </w:tc>
        <w:tc>
          <w:tcPr>
            <w:tcW w:type="dxa" w:w="1080"/>
          </w:tcPr>
          <w:p>
            <w:r>
              <w:t>10.41%</w:t>
            </w:r>
          </w:p>
        </w:tc>
        <w:tc>
          <w:tcPr>
            <w:tcW w:type="dxa" w:w="1080"/>
          </w:tcPr>
          <w:p>
            <w:r>
              <w:t>1.16</w:t>
            </w:r>
          </w:p>
        </w:tc>
        <w:tc>
          <w:tcPr>
            <w:tcW w:type="dxa" w:w="1080"/>
          </w:tcPr>
          <w:p>
            <w:r>
              <w:t>-10.86%</w:t>
            </w:r>
          </w:p>
        </w:tc>
        <w:tc>
          <w:tcPr>
            <w:tcW w:type="dxa" w:w="1080"/>
          </w:tcPr>
          <w:p>
            <w:r>
              <w:t>1.04</w:t>
            </w:r>
          </w:p>
        </w:tc>
      </w:tr>
      <w:tr>
        <w:tc>
          <w:tcPr>
            <w:tcW w:type="dxa" w:w="1080"/>
          </w:tcPr>
          <w:p>
            <w:r>
              <w:t>6ETF等权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50.49%</w:t>
            </w:r>
          </w:p>
        </w:tc>
        <w:tc>
          <w:tcPr>
            <w:tcW w:type="dxa" w:w="1080"/>
          </w:tcPr>
          <w:p>
            <w:r>
              <w:t>19.15%</w:t>
            </w:r>
          </w:p>
        </w:tc>
        <w:tc>
          <w:tcPr>
            <w:tcW w:type="dxa" w:w="1080"/>
          </w:tcPr>
          <w:p>
            <w:r>
              <w:t>7.62%</w:t>
            </w:r>
          </w:p>
        </w:tc>
        <w:tc>
          <w:tcPr>
            <w:tcW w:type="dxa" w:w="1080"/>
          </w:tcPr>
          <w:p>
            <w:r>
              <w:t>2.51</w:t>
            </w:r>
          </w:p>
        </w:tc>
        <w:tc>
          <w:tcPr>
            <w:tcW w:type="dxa" w:w="1080"/>
          </w:tcPr>
          <w:p>
            <w:r>
              <w:t>-4.20%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</w:tr>
      <w:tr>
        <w:tc>
          <w:tcPr>
            <w:tcW w:type="dxa" w:w="1080"/>
          </w:tcPr>
          <w:p>
            <w:r>
              <w:t>SPY买入持有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55.60%</w:t>
            </w:r>
          </w:p>
        </w:tc>
        <w:tc>
          <w:tcPr>
            <w:tcW w:type="dxa" w:w="1080"/>
          </w:tcPr>
          <w:p>
            <w:r>
              <w:t>20.86%</w:t>
            </w:r>
          </w:p>
        </w:tc>
        <w:tc>
          <w:tcPr>
            <w:tcW w:type="dxa" w:w="1080"/>
          </w:tcPr>
          <w:p>
            <w:r>
              <w:t>13.74%</w:t>
            </w:r>
          </w:p>
        </w:tc>
        <w:tc>
          <w:tcPr>
            <w:tcW w:type="dxa" w:w="1080"/>
          </w:tcPr>
          <w:p>
            <w:r>
              <w:t>1.52</w:t>
            </w:r>
          </w:p>
        </w:tc>
        <w:tc>
          <w:tcPr>
            <w:tcW w:type="dxa" w:w="1080"/>
          </w:tcPr>
          <w:p>
            <w:r>
              <w:t>-10.69%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</w:tr>
      <w:tr>
        <w:tc>
          <w:tcPr>
            <w:tcW w:type="dxa" w:w="1080"/>
          </w:tcPr>
          <w:p>
            <w:r>
              <w:t>PtO-Markowitz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22.00%</w:t>
            </w:r>
          </w:p>
        </w:tc>
        <w:tc>
          <w:tcPr>
            <w:tcW w:type="dxa" w:w="1080"/>
          </w:tcPr>
          <w:p>
            <w:r>
              <w:t>8.90%</w:t>
            </w:r>
          </w:p>
        </w:tc>
        <w:tc>
          <w:tcPr>
            <w:tcW w:type="dxa" w:w="1080"/>
          </w:tcPr>
          <w:p>
            <w:r>
              <w:t>10.84%</w:t>
            </w:r>
          </w:p>
        </w:tc>
        <w:tc>
          <w:tcPr>
            <w:tcW w:type="dxa" w:w="1080"/>
          </w:tcPr>
          <w:p>
            <w:r>
              <w:t>0.82</w:t>
            </w:r>
          </w:p>
        </w:tc>
        <w:tc>
          <w:tcPr>
            <w:tcW w:type="dxa" w:w="1080"/>
          </w:tcPr>
          <w:p>
            <w:r>
              <w:t>-15.90%</w:t>
            </w:r>
          </w:p>
        </w:tc>
        <w:tc>
          <w:tcPr>
            <w:tcW w:type="dxa" w:w="1080"/>
          </w:tcPr>
          <w:p>
            <w:r>
              <w:t>1.26</w:t>
            </w:r>
          </w:p>
        </w:tc>
      </w:tr>
    </w:tbl>
    <w:p/>
    <w:p>
      <w:pPr>
        <w:pStyle w:val="Heading1"/>
      </w:pPr>
      <w:r>
        <w:t>八、讨论与局限</w:t>
      </w:r>
    </w:p>
    <w:p>
      <w:pPr>
        <w:ind w:firstLine="440"/>
        <w:jc w:val="both"/>
      </w:pPr>
      <w:r>
        <w:t>本案例的贡献在于把投资学理论、机器学习预测、SPO 决策导向训练和 AI 风险偏好表达串成一条可复现流程。报告不只展示收益，还解释了模型配置、调仓规则、成本扣除和风险约束。</w:t>
      </w:r>
    </w:p>
    <w:p>
      <w:pPr>
        <w:ind w:firstLine="440"/>
        <w:jc w:val="both"/>
      </w:pPr>
      <w:r>
        <w:t>局限也很明确：测试期只有 28 个调仓月；ETF 池较小；Yahoo Finance 数据适合课程复现但不是正式交易级数据；交易成本用固定 0.5% 近似，未纳入滑点、税费和极端流动性风险；AI 风险组合基于历史样本和规则约束，不能保证未来有效。</w:t>
      </w:r>
    </w:p>
    <w:p>
      <w:pPr>
        <w:pStyle w:val="Heading1"/>
      </w:pPr>
      <w:r>
        <w:t>九、结论</w:t>
      </w:r>
    </w:p>
    <w:p>
      <w:pPr>
        <w:ind w:firstLine="440"/>
        <w:jc w:val="both"/>
      </w:pPr>
      <w:r>
        <w:t>在更新后的仓库结果中，SPO+换手/L2约束组合在净收益总收益上表现最好，AI 低风险组合在风险控制和 Sharpe 上较有优势。整体来看，AI 与 SPO 方法可以帮助把预测信号转化为有约束的组合权重，并支持不同风险偏好的资产配置展示。</w:t>
      </w:r>
    </w:p>
    <w:p>
      <w:pPr>
        <w:ind w:firstLine="440"/>
        <w:jc w:val="both"/>
      </w:pPr>
      <w:r>
        <w:t>后续研究可扩展更长历史区间、更多 ETF、滚动训练窗口、不同交易成本情景和压力测试，并与更多传统模型和机器学习模型进行对照。再次强调，本研究仅用于课程案例研究，不构成投资建议。</w:t>
      </w:r>
    </w:p>
    <w:p>
      <w:pPr>
        <w:pStyle w:val="Heading1"/>
      </w:pPr>
      <w:r>
        <w:t>参考网站与数据来源</w:t>
      </w:r>
    </w:p>
    <w:p>
      <w:pPr>
        <w:ind w:firstLine="440"/>
        <w:jc w:val="both"/>
      </w:pPr>
      <w:r>
        <w:t>GitHub 项目仓库：https://github.com/hhhx-lab/-ETF-</w:t>
      </w:r>
    </w:p>
    <w:p>
      <w:pPr>
        <w:ind w:firstLine="440"/>
        <w:jc w:val="both"/>
      </w:pPr>
      <w:r>
        <w:t>Yahoo Finance：https://finance.yahoo.com/</w:t>
      </w:r>
    </w:p>
    <w:p>
      <w:pPr>
        <w:ind w:firstLine="440"/>
        <w:jc w:val="both"/>
      </w:pPr>
      <w:r>
        <w:t>yfinance：https://github.com/ranaroussi/yfinance</w:t>
      </w:r>
    </w:p>
    <w:p>
      <w:pPr>
        <w:ind w:firstLine="440"/>
        <w:jc w:val="both"/>
      </w:pPr>
      <w:r>
        <w:t>PyEPO：https://github.com/khalil-research/PyEPO</w:t>
      </w:r>
    </w:p>
    <w:p>
      <w:pPr>
        <w:ind w:firstLine="440"/>
        <w:jc w:val="both"/>
      </w:pPr>
      <w:r>
        <w:t>arXiv 论文：Smart Predict--then--Optimize Paradigm for Portfolio Optimization in Real Markets, arXiv:2601.04062v3</w:t>
      </w:r>
    </w:p>
    <w:p>
      <w:pPr>
        <w:ind w:firstLine="440"/>
        <w:jc w:val="both"/>
      </w:pPr>
      <w:r>
        <w:t>Markowitz, H. (1952). Portfolio Selection. The Journal of Finance.</w:t>
      </w:r>
    </w:p>
    <w:p>
      <w:r>
        <w:t>表5 数据来源与用途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来源</w:t>
            </w:r>
          </w:p>
        </w:tc>
        <w:tc>
          <w:tcPr>
            <w:tcW w:type="dxa" w:w="2880"/>
            <w:shd w:fill="D9EAF7"/>
          </w:tcPr>
          <w:p>
            <w:r>
              <w:t>用途</w:t>
            </w:r>
          </w:p>
        </w:tc>
        <w:tc>
          <w:tcPr>
            <w:tcW w:type="dxa" w:w="2880"/>
            <w:shd w:fill="D9EAF7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Yahoo Finance / yfinance</w:t>
            </w:r>
          </w:p>
        </w:tc>
        <w:tc>
          <w:tcPr>
            <w:tcW w:type="dxa" w:w="2880"/>
          </w:tcPr>
          <w:p>
            <w:r>
              <w:t>ETF 日度价格、复权收盘价</w:t>
            </w:r>
          </w:p>
        </w:tc>
        <w:tc>
          <w:tcPr>
            <w:tcW w:type="dxa" w:w="2880"/>
          </w:tcPr>
          <w:p>
            <w:r>
              <w:t>适合课程复现；正式投资研究应以交易所、基金公司或专业数据源核验</w:t>
            </w:r>
          </w:p>
        </w:tc>
      </w:tr>
      <w:tr>
        <w:tc>
          <w:tcPr>
            <w:tcW w:type="dxa" w:w="2880"/>
          </w:tcPr>
          <w:p>
            <w:r>
              <w:t>GitHub: hhhx-lab/-ETF-</w:t>
            </w:r>
          </w:p>
        </w:tc>
        <w:tc>
          <w:tcPr>
            <w:tcW w:type="dxa" w:w="2880"/>
          </w:tcPr>
          <w:p>
            <w:r>
              <w:t>代码、数据处理、模型复现、回测结果</w:t>
            </w:r>
          </w:p>
        </w:tc>
        <w:tc>
          <w:tcPr>
            <w:tcW w:type="dxa" w:w="2880"/>
          </w:tcPr>
          <w:p>
            <w:r>
              <w:t>本报告使用更新后的仓库 README、docs 与 outputs/tables</w:t>
            </w:r>
          </w:p>
        </w:tc>
      </w:tr>
      <w:tr>
        <w:tc>
          <w:tcPr>
            <w:tcW w:type="dxa" w:w="2880"/>
          </w:tcPr>
          <w:p>
            <w:r>
              <w:t>arXiv:2601.04062v3</w:t>
            </w:r>
          </w:p>
        </w:tc>
        <w:tc>
          <w:tcPr>
            <w:tcW w:type="dxa" w:w="2880"/>
          </w:tcPr>
          <w:p>
            <w:r>
              <w:t>SPO 方法来源</w:t>
            </w:r>
          </w:p>
        </w:tc>
        <w:tc>
          <w:tcPr>
            <w:tcW w:type="dxa" w:w="2880"/>
          </w:tcPr>
          <w:p>
            <w:r>
              <w:t>Smart Predict--then--Optimize Paradigm for Portfolio Optimization in Real Markets</w:t>
            </w:r>
          </w:p>
        </w:tc>
      </w:tr>
      <w:tr>
        <w:tc>
          <w:tcPr>
            <w:tcW w:type="dxa" w:w="2880"/>
          </w:tcPr>
          <w:p>
            <w:r>
              <w:t>PyEPO</w:t>
            </w:r>
          </w:p>
        </w:tc>
        <w:tc>
          <w:tcPr>
            <w:tcW w:type="dxa" w:w="2880"/>
          </w:tcPr>
          <w:p>
            <w:r>
              <w:t>SPO+ 损失实现</w:t>
            </w:r>
          </w:p>
        </w:tc>
        <w:tc>
          <w:tcPr>
            <w:tcW w:type="dxa" w:w="2880"/>
          </w:tcPr>
          <w:p>
            <w:r>
              <w:t>开源决策导向学习工具包</w:t>
            </w:r>
          </w:p>
        </w:tc>
      </w:tr>
      <w:tr>
        <w:tc>
          <w:tcPr>
            <w:tcW w:type="dxa" w:w="2880"/>
          </w:tcPr>
          <w:p>
            <w:r>
              <w:t>Markowitz (1952)</w:t>
            </w:r>
          </w:p>
        </w:tc>
        <w:tc>
          <w:tcPr>
            <w:tcW w:type="dxa" w:w="2880"/>
          </w:tcPr>
          <w:p>
            <w:r>
              <w:t>均值-方差理论</w:t>
            </w:r>
          </w:p>
        </w:tc>
        <w:tc>
          <w:tcPr>
            <w:tcW w:type="dxa" w:w="2880"/>
          </w:tcPr>
          <w:p>
            <w:r>
              <w:t>投资组合理论基础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