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99C8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生成模型小组（2人）</w:t>
      </w:r>
    </w:p>
    <w:p w14:paraId="4F07B51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成员 G1：核心开发与迁移</w:t>
      </w:r>
    </w:p>
    <w:p w14:paraId="3A94E463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：深入理解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往年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冠军方案的 GAN 代码</w:t>
      </w:r>
    </w:p>
    <w:p w14:paraId="510DD2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将生成器替换为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扩散模型（Diffusion Model）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，优先实现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切片式条件潜在扩散模型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，支持多模态 MRI（T1, T1Gd, T2, FLAIR）及对应 4 类标签的生成。</w:t>
      </w:r>
    </w:p>
    <w:p w14:paraId="31B38F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在开发环境中调试并训练扩散模型，确保能产生合理的高质量合成数据。</w:t>
      </w:r>
    </w:p>
    <w:p w14:paraId="40148D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输出：可运行的扩散模型训练代码（基于 PyTorch）及初步生成样例。</w:t>
      </w:r>
    </w:p>
    <w:p w14:paraId="0A1564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成员 G2：数据生成与质量控制</w:t>
      </w:r>
    </w:p>
    <w:p w14:paraId="3AD2A45C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深入理解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往年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冠军方案的 GAN 代码</w:t>
      </w:r>
    </w:p>
    <w:p w14:paraId="29AF9A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利用 G1 训练好的扩散模型，大规模生成合成病例</w:t>
      </w:r>
    </w:p>
    <w:p w14:paraId="280561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开发自动化脚本，将生成的合成数据直接转换为 nnU-Net 的输入格式（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imagesTr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+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labelsTr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）。</w:t>
      </w:r>
    </w:p>
    <w:p w14:paraId="00F82D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评估合成数据的质量（使用 FID、MS-SSIM 等指标，或通过预训练分割模型的 Dice 改进程度间接衡量）。</w:t>
      </w:r>
    </w:p>
    <w:p w14:paraId="6F267E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输出：高质量合成数据集附上质量评估报告。</w:t>
      </w:r>
    </w:p>
    <w:p w14:paraId="4148FD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72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分割模型小组（5人）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所有分割模型成员需在完成各自模型后，协助生成小组验证合成数据的有效性（对比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合成数据增强前后的性能提升）。</w:t>
      </w:r>
    </w:p>
    <w:p w14:paraId="1C88F4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预处理数据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nnU-Net 格式</w:t>
      </w:r>
    </w:p>
    <w:p w14:paraId="50DEAB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设置统一的验证集划分（5折交叉验证的第一折即可，或固定验证集），以便公平对比。</w:t>
      </w:r>
    </w:p>
    <w:p w14:paraId="3FD6DD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成员 S1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＆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：nnUNet（基线主力）</w:t>
      </w:r>
    </w:p>
    <w:p w14:paraId="51658EF4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50186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运行 nnUNet v2 的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所有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配置，完成 5 折交叉验证。</w:t>
      </w:r>
    </w:p>
    <w:p w14:paraId="50CF85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同时运行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真实数据 + 合成数据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增强版本（由生成小组提供），对比性能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提升。</w:t>
      </w:r>
    </w:p>
    <w:p w14:paraId="0EB6DC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调优超参数（如 patch size、batch size）以适应新数据集。</w:t>
      </w:r>
    </w:p>
    <w:p w14:paraId="14C2DF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输出：nnUNet 基线分割结果（Dice, NSD）及消融实验结果。</w:t>
      </w:r>
    </w:p>
    <w:p w14:paraId="42BD4B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成员 S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：Swin UNETR</w:t>
      </w:r>
    </w:p>
    <w:p w14:paraId="045887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8539E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在真实数据和真实+合成数据上分别训练 5 折（可先跑 1 折验证流程）。</w:t>
      </w:r>
    </w:p>
    <w:p w14:paraId="5DBE87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重点监控 Transformer 模型对小病灶（&lt;275 mm³）的检测性能。</w:t>
      </w:r>
    </w:p>
    <w:p w14:paraId="45EF6D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输出：Swin UNETR 分割结果及检测指标（F1-score, AUC）。</w:t>
      </w:r>
    </w:p>
    <w:p w14:paraId="0171C6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成员 S4：SAM 及相关变体</w:t>
      </w:r>
    </w:p>
    <w:p w14:paraId="073C89FB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649009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调研适用于脑肿瘤分割的 SAM 变体（如 Medical SAM, SAM-Med2D, SAM-Adapter）。</w:t>
      </w:r>
    </w:p>
    <w:p w14:paraId="726266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实现并微调 SAM 模型，重点解决小目标分割问题。</w:t>
      </w:r>
    </w:p>
    <w:p w14:paraId="6A8D6E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由于 SAM 需要 prompt，需设计自动 prompt 生成策略（如基于 bounding box 或中心点）。</w:t>
      </w:r>
    </w:p>
    <w:p w14:paraId="67F7BC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输出：SAM 模型在验证集上的分割性能报告。</w:t>
      </w:r>
    </w:p>
    <w:p w14:paraId="43C745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成员 S5：Mamba-based 模型（含 SGE Mamba）</w:t>
      </w:r>
    </w:p>
    <w:p w14:paraId="010E3D6A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CBC48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选择 1-2 种最新的 Mamba 架构（如 Vision Mamba, VMamba, MedMamba, SGE Mamba）。</w:t>
      </w:r>
    </w:p>
    <w:p w14:paraId="29B3AC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适配 BraTS数据（可能需要修改输入维度或使用 2.5D 方式）。</w:t>
      </w:r>
    </w:p>
    <w:p w14:paraId="633D07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训练并评估其在真实数据和合成数据上的表现。</w:t>
      </w:r>
    </w:p>
    <w:p w14:paraId="5AB9C8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输出：Mamba-based 模型分割结果及其效率分析（参数量、推理时间）。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B3C30"/>
    <w:rsid w:val="09B01C47"/>
    <w:rsid w:val="18977A53"/>
    <w:rsid w:val="1ADA440F"/>
    <w:rsid w:val="393C6ED0"/>
    <w:rsid w:val="3A842EED"/>
    <w:rsid w:val="47AF2F63"/>
    <w:rsid w:val="544D1B39"/>
    <w:rsid w:val="63D47B81"/>
    <w:rsid w:val="6E8D4324"/>
    <w:rsid w:val="6EE4531A"/>
    <w:rsid w:val="7EF944E8"/>
    <w:rsid w:val="7FA0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2026-05-12T05:28:49Z</dcterms:created>
  <dc:creator>HUAWEI</dc:creator>
  <cp:lastModifiedBy>王奕锦</cp:lastModifiedBy>
  <dcterms:modified xsi:type="dcterms:W3CDTF">2026-05-12T05:47:25Z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eyJoZGlkIjoiNjllOGVmN2Q0OTQzOGRjN2I1ZDExYmJlN2IxZDc5OWEiLCJ1c2VySWQiOiIxNjA4NTY4NTQ1In0=</vt:lpwstr>
  </property>
  <property fmtid="{D5CDD505-2E9C-101B-9397-08002B2CF9AE}" pid="4" name="ICV">
    <vt:lpwstr>FDC4DEBB65C8421AA4F25ADAD4B9ED29_12</vt:lpwstr>
  </property>
</Properties>
</file>