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jc w:val="center"/>
        <w:spacing w:after="240"/>
      </w:pPr>
      <w:r>
        <w:rPr>
          <w:rFonts w:ascii="Times New Roman" w:hAnsi="Times New Roman" w:eastAsia="SimSun"/>
          <w:b/>
          <w:sz w:val="32"/>
          <w:szCs w:val="32"/>
        </w:rPr>
        <w:t xml:space="preserve">成员分工</w:t>
      </w:r>
    </w:p>
    <w:p>
      <w:pPr>
        <w:jc w:val="center"/>
        <w:spacing w:after="360"/>
      </w:pPr>
      <w:r>
        <w:rPr>
          <w:rFonts w:ascii="Times New Roman" w:hAnsi="Times New Roman" w:eastAsia="SimSun"/>
          <w:sz w:val="24"/>
          <w:szCs w:val="24"/>
        </w:rPr>
        <w:t xml:space="preserve">ROGII 井筒地质预测课程项目</w:t>
      </w:r>
    </w:p>
    <w:tbl>
      <w:tblPr>
        <w:tblW w:w="0" w:type="auto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0"/>
        <w:gridCol w:w="2200"/>
        <w:gridCol w:w="5200"/>
      </w:tblGrid>
      <w:tr>
        <w:tc>
          <w:tcPr>
            <w:tcW w:w="1800" w:type="dxa"/>
            <w:shd w:fill="EDEDED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b/>
                <w:sz w:val="21"/>
                <w:szCs w:val="21"/>
              </w:rPr>
              <w:t xml:space="preserve">姓名</w:t>
            </w:r>
          </w:p>
        </w:tc>
        <w:tc>
          <w:tcPr>
            <w:tcW w:w="2200" w:type="dxa"/>
            <w:shd w:fill="EDEDED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b/>
                <w:sz w:val="21"/>
                <w:szCs w:val="21"/>
              </w:rPr>
              <w:t xml:space="preserve">学号</w:t>
            </w:r>
          </w:p>
        </w:tc>
        <w:tc>
          <w:tcPr>
            <w:tcW w:w="5200" w:type="dxa"/>
            <w:shd w:fill="EDEDED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b/>
                <w:sz w:val="21"/>
                <w:szCs w:val="21"/>
              </w:rPr>
              <w:t xml:space="preserve">主要分工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翁凯乐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10245001419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数据下载、数据契约检查、数据统计与描述整理。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何剑宝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10245001417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基线模型、几何残差回归模型与树模型训练。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冯炳睿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10245001411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门控模型、集成实验、候选筛选与后处理比较。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万席宁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10245001421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论文撰写、图表整理、格式核对与最终提交文件归档。</w:t>
            </w:r>
          </w:p>
        </w:tc>
      </w:tr>
    </w:tbl>
    <w:p>
      <w:pPr>
        <w:jc w:val="left"/>
        <w:spacing w:after="160"/>
      </w:pPr>
      <w:r>
        <w:rPr>
          <w:rFonts w:ascii="Times New Roman" w:hAnsi="Times New Roman" w:eastAsia="SimSun"/>
          <w:sz w:val="22"/>
          <w:szCs w:val="22"/>
        </w:rPr>
        <w:t xml:space="preserve"/>
      </w:r>
    </w:p>
    <w:p>
      <w:pPr>
        <w:jc w:val="left"/>
        <w:spacing w:after="120"/>
      </w:pPr>
      <w:r>
        <w:rPr>
          <w:rFonts w:ascii="Times New Roman" w:hAnsi="Times New Roman" w:eastAsia="SimSun"/>
          <w:sz w:val="22"/>
          <w:szCs w:val="22"/>
        </w:rPr>
        <w:t xml:space="preserve">分工围绕数据处理、特征构造、模型训练、结果整理与论文撰写展开。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2"/>
        <w:szCs w:val="22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Work Division</dc:title>
  <dc:creator>ROGII Project Team</dc:creator>
</cp:coreProperties>
</file>