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83" w:lineRule="auto"/>
        <w:jc w:val="right"/>
        <w:keepNext w:val="0"/>
        <w:bidi w:val="1"/>
      </w:pPr>
      <w:r>
        <w:rPr>
          <w:rFonts w:ascii="Amiri" w:hAnsi="Amiri" w:cs="Amiri" w:eastAsia="Amiri"/>
          <w:b w:val="0"/>
          <w:i w:val="0"/>
          <w:color w:val="1F2933"/>
          <w:sz w:val="24"/>
          <w:rtl w:val="1"/>
        </w:rPr>
      </w:r>
    </w:p>
    <w:p>
      <w:pPr>
        <w:jc w:val="right"/>
        <w:bidi w:val="1"/>
      </w:pPr>
      <w:r>
        <w:rPr>
          <w:rFonts w:ascii="Noto Sans Arabic" w:hAnsi="Noto Sans Arabic" w:cs="Noto Sans Arabic" w:eastAsia="Noto Sans Arabic"/>
          <w:b/>
          <w:i w:val="0"/>
          <w:color w:val="B58A3B"/>
          <w:sz w:val="34"/>
          <w:rtl w:val="1"/>
        </w:rPr>
        <w:t>HOKOM–TAAQOL</w:t>
      </w:r>
    </w:p>
    <w:p>
      <w:pPr>
        <w:pStyle w:val="Title"/>
        <w:jc w:val="right"/>
        <w:bidi w:val="1"/>
      </w:pPr>
      <w:r>
        <w:rPr>
          <w:rFonts w:ascii="Noto Sans Arabic" w:hAnsi="Noto Sans Arabic" w:cs="Noto Sans Arabic" w:eastAsia="Noto Sans Arabic"/>
          <w:b/>
          <w:i w:val="0"/>
          <w:color w:val="16324F"/>
          <w:sz w:val="52"/>
          <w:rtl w:val="1"/>
        </w:rPr>
        <w:t>التعديل الدستوري الأول</w:t>
      </w:r>
    </w:p>
    <w:p>
      <w:pPr>
        <w:pStyle w:val="Subtitle"/>
        <w:jc w:val="right"/>
        <w:bidi w:val="1"/>
      </w:pPr>
      <w:r>
        <w:rPr>
          <w:rFonts w:ascii="Noto Sans Arabic" w:hAnsi="Noto Sans Arabic" w:cs="Noto Sans Arabic" w:eastAsia="Noto Sans Arabic"/>
          <w:b/>
          <w:i w:val="0"/>
          <w:color w:val="245B78"/>
          <w:sz w:val="29"/>
          <w:rtl w:val="1"/>
        </w:rPr>
        <w:t>لدستور Hokom–Taaqol: منشأ الادعاء، بناء المفهوم، ترخيص الحكم، الأثر، المطابقة، والمراجعة</w:t>
      </w:r>
    </w:p>
    <w:p>
      <w:pPr>
        <w:spacing w:after="100" w:line="283" w:lineRule="auto"/>
        <w:jc w:val="right"/>
        <w:keepNext w:val="0"/>
        <w:bidi w:val="1"/>
      </w:pPr>
      <w:r>
        <w:rPr>
          <w:rFonts w:ascii="Amiri" w:hAnsi="Amiri" w:cs="Amiri" w:eastAsia="Amiri"/>
          <w:b w:val="0"/>
          <w:i w:val="0"/>
          <w:color w:val="1F2933"/>
          <w:sz w:val="24"/>
          <w:rtl w:val="1"/>
        </w:rPr>
      </w:r>
    </w:p>
    <w:tbl>
      <w:tblPr>
        <w:tblW w:type="auto" w:w="0"/>
        <w:jc w:val="center"/>
        <w:tblLook w:firstColumn="1" w:firstRow="1" w:lastColumn="0" w:lastRow="0" w:noHBand="0" w:noVBand="1" w:val="04A0"/>
      </w:tblPr>
      <w:tblGrid>
        <w:gridCol w:w="9524"/>
      </w:tblGrid>
      <w:tr>
        <w:tc>
          <w:tcPr>
            <w:tcW w:type="dxa" w:w="9524"/>
            <w:shd w:fill="F6F0E3"/>
            <w:tcMar>
              <w:top w:w="150" w:type="dxa"/>
              <w:start w:w="190" w:type="dxa"/>
              <w:bottom w:w="150" w:type="dxa"/>
              <w:end w:w="190" w:type="dxa"/>
            </w:tcMar>
          </w:tcPr>
          <w:p>
            <w:pPr>
              <w:jc w:val="right"/>
              <w:bidi w:val="1"/>
            </w:pPr>
            <w:r>
              <w:rPr>
                <w:rFonts w:ascii="Noto Sans Arabic" w:hAnsi="Noto Sans Arabic" w:cs="Noto Sans Arabic" w:eastAsia="Noto Sans Arabic"/>
                <w:b/>
                <w:i w:val="0"/>
                <w:color w:val="16324F"/>
                <w:sz w:val="25"/>
                <w:rtl w:val="1"/>
              </w:rPr>
              <w:t>Constitutional Amendment No. 1 — Claim Provenance, Judgment Licensing, Effect, Correspondence, and Review</w:t>
            </w:r>
          </w:p>
          <w:p>
            <w:pPr>
              <w:jc w:val="right"/>
              <w:bidi w:val="1"/>
            </w:pPr>
            <w:r>
              <w:rPr>
                <w:rFonts w:ascii="Amiri" w:hAnsi="Amiri" w:cs="Amiri" w:eastAsia="Amiri"/>
                <w:b w:val="0"/>
                <w:i w:val="0"/>
                <w:color w:val="1F2933"/>
                <w:sz w:val="24"/>
                <w:rtl w:val="1"/>
              </w:rPr>
              <w:t>وثيقة حاكمة ضمن مشروع Hokom–Taaqol. لا تنشئ سجل طبقات موازياً، ولا تُعدّل المواد المحصنة إلا بالنص الصريح الوارد فيها.</w:t>
            </w:r>
          </w:p>
        </w:tc>
      </w:tr>
    </w:tbl>
    <w:p>
      <w:pPr>
        <w:spacing w:after="20"/>
      </w:pPr>
    </w:p>
    <w:p>
      <w:pPr>
        <w:spacing w:after="100" w:line="283" w:lineRule="auto"/>
        <w:jc w:val="right"/>
        <w:keepNext w:val="0"/>
        <w:bidi w:val="1"/>
      </w:pPr>
      <w:r>
        <w:rPr>
          <w:rFonts w:ascii="Amiri" w:hAnsi="Amiri" w:cs="Amiri" w:eastAsia="Amiri"/>
          <w:b w:val="0"/>
          <w:i w:val="0"/>
          <w:color w:val="1F2933"/>
          <w:sz w:val="24"/>
          <w:rtl w:val="1"/>
        </w:rPr>
      </w:r>
    </w:p>
    <w:tbl>
      <w:tblPr>
        <w:tblStyle w:val="TableGrid"/>
        <w:tblW w:type="auto" w:w="0"/>
        <w:jc w:val="center"/>
        <w:tblLook w:firstColumn="1" w:firstRow="1" w:lastColumn="0" w:lastRow="0" w:noHBand="0" w:noVBand="1" w:val="04A0"/>
      </w:tblPr>
      <w:tblGrid>
        <w:gridCol w:w="4762"/>
        <w:gridCol w:w="4762"/>
      </w:tblGrid>
      <w:tr>
        <w:tc>
          <w:tcPr>
            <w:tcW w:type="dxa" w:w="4762"/>
            <w:shd w:fill="F6F0E3"/>
            <w:tcMar>
              <w:top w:w="100" w:type="dxa"/>
              <w:start w:w="120" w:type="dxa"/>
              <w:bottom w:w="100" w:type="dxa"/>
              <w:end w:w="120" w:type="dxa"/>
            </w:tcMar>
          </w:tcPr>
          <w:p>
            <w:pPr>
              <w:jc w:val="center"/>
              <w:bidi w:val="1"/>
            </w:pPr>
            <w:r>
              <w:rPr>
                <w:rFonts w:ascii="Noto Sans Arabic" w:hAnsi="Noto Sans Arabic" w:cs="Noto Sans Arabic" w:eastAsia="Noto Sans Arabic"/>
                <w:b/>
                <w:i w:val="0"/>
                <w:color w:val="16324F"/>
                <w:sz w:val="22"/>
                <w:rtl w:val="1"/>
              </w:rPr>
              <w:t>الإصدار</w:t>
            </w:r>
          </w:p>
        </w:tc>
        <w:tc>
          <w:tcPr>
            <w:tcW w:type="dxa" w:w="4762"/>
            <w:shd w:fill="FFFFFF"/>
            <w:tcMar>
              <w:top w:w="100" w:type="dxa"/>
              <w:start w:w="120" w:type="dxa"/>
              <w:bottom w:w="100" w:type="dxa"/>
              <w:end w:w="120" w:type="dxa"/>
            </w:tcMar>
          </w:tcPr>
          <w:p>
            <w:r>
              <w:t>1.1</w:t>
            </w:r>
          </w:p>
        </w:tc>
      </w:tr>
      <w:tr>
        <w:tc>
          <w:tcPr>
            <w:tcW w:type="dxa" w:w="4762"/>
            <w:shd w:fill="F6F0E3"/>
            <w:tcMar>
              <w:top w:w="100" w:type="dxa"/>
              <w:start w:w="120" w:type="dxa"/>
              <w:bottom w:w="100" w:type="dxa"/>
              <w:end w:w="120" w:type="dxa"/>
            </w:tcMar>
          </w:tcPr>
          <w:p>
            <w:pPr>
              <w:jc w:val="center"/>
              <w:bidi w:val="1"/>
            </w:pPr>
            <w:r>
              <w:rPr>
                <w:rFonts w:ascii="Noto Sans Arabic" w:hAnsi="Noto Sans Arabic" w:cs="Noto Sans Arabic" w:eastAsia="Noto Sans Arabic"/>
                <w:b/>
                <w:i w:val="0"/>
                <w:color w:val="16324F"/>
                <w:sz w:val="22"/>
                <w:rtl w:val="1"/>
              </w:rPr>
              <w:t>الحالة</w:t>
            </w:r>
          </w:p>
        </w:tc>
        <w:tc>
          <w:tcPr>
            <w:tcW w:type="dxa" w:w="4762"/>
            <w:shd w:fill="FFFFFF"/>
            <w:tcMar>
              <w:top w:w="100" w:type="dxa"/>
              <w:start w:w="120" w:type="dxa"/>
              <w:bottom w:w="100" w:type="dxa"/>
              <w:end w:w="120" w:type="dxa"/>
            </w:tcMar>
          </w:tcPr>
          <w:p>
            <w:r>
              <w:t>مقترح للاعتماد — منقح بمواد سلامة التنفيذ والبيئة</w:t>
            </w:r>
          </w:p>
        </w:tc>
      </w:tr>
      <w:tr>
        <w:tc>
          <w:tcPr>
            <w:tcW w:type="dxa" w:w="4762"/>
            <w:shd w:fill="F6F0E3"/>
            <w:tcMar>
              <w:top w:w="100" w:type="dxa"/>
              <w:start w:w="120" w:type="dxa"/>
              <w:bottom w:w="100" w:type="dxa"/>
              <w:end w:w="120" w:type="dxa"/>
            </w:tcMar>
          </w:tcPr>
          <w:p>
            <w:pPr>
              <w:jc w:val="center"/>
              <w:bidi w:val="1"/>
            </w:pPr>
            <w:r>
              <w:rPr>
                <w:rFonts w:ascii="Noto Sans Arabic" w:hAnsi="Noto Sans Arabic" w:cs="Noto Sans Arabic" w:eastAsia="Noto Sans Arabic"/>
                <w:b/>
                <w:i w:val="0"/>
                <w:color w:val="16324F"/>
                <w:sz w:val="22"/>
                <w:rtl w:val="1"/>
              </w:rPr>
              <w:t>التاريخ</w:t>
            </w:r>
          </w:p>
        </w:tc>
        <w:tc>
          <w:tcPr>
            <w:tcW w:type="dxa" w:w="4762"/>
            <w:shd w:fill="FFFFFF"/>
            <w:tcMar>
              <w:top w:w="100" w:type="dxa"/>
              <w:start w:w="120" w:type="dxa"/>
              <w:bottom w:w="100" w:type="dxa"/>
              <w:end w:w="120" w:type="dxa"/>
            </w:tcMar>
          </w:tcPr>
          <w:p>
            <w:pPr>
              <w:jc w:val="center"/>
              <w:bidi w:val="1"/>
            </w:pPr>
            <w:r>
              <w:rPr>
                <w:rFonts w:ascii="Amiri" w:hAnsi="Amiri" w:cs="Amiri" w:eastAsia="Amiri"/>
                <w:b w:val="0"/>
                <w:i w:val="0"/>
                <w:color w:val="1F2933"/>
                <w:sz w:val="22"/>
                <w:rtl w:val="1"/>
              </w:rPr>
              <w:t>18 تموز 2026</w:t>
            </w:r>
          </w:p>
        </w:tc>
      </w:tr>
      <w:tr>
        <w:tc>
          <w:tcPr>
            <w:tcW w:type="dxa" w:w="4762"/>
            <w:shd w:fill="F6F0E3"/>
            <w:tcMar>
              <w:top w:w="100" w:type="dxa"/>
              <w:start w:w="120" w:type="dxa"/>
              <w:bottom w:w="100" w:type="dxa"/>
              <w:end w:w="120" w:type="dxa"/>
            </w:tcMar>
          </w:tcPr>
          <w:p>
            <w:pPr>
              <w:jc w:val="center"/>
              <w:bidi w:val="1"/>
            </w:pPr>
            <w:r>
              <w:rPr>
                <w:rFonts w:ascii="Noto Sans Arabic" w:hAnsi="Noto Sans Arabic" w:cs="Noto Sans Arabic" w:eastAsia="Noto Sans Arabic"/>
                <w:b/>
                <w:i w:val="0"/>
                <w:color w:val="16324F"/>
                <w:sz w:val="22"/>
                <w:rtl w:val="1"/>
              </w:rPr>
              <w:t>اللغة الحاكمة</w:t>
            </w:r>
          </w:p>
        </w:tc>
        <w:tc>
          <w:tcPr>
            <w:tcW w:type="dxa" w:w="4762"/>
            <w:shd w:fill="FFFFFF"/>
            <w:tcMar>
              <w:top w:w="100" w:type="dxa"/>
              <w:start w:w="120" w:type="dxa"/>
              <w:bottom w:w="100" w:type="dxa"/>
              <w:end w:w="120" w:type="dxa"/>
            </w:tcMar>
          </w:tcPr>
          <w:p>
            <w:pPr>
              <w:jc w:val="center"/>
              <w:bidi w:val="1"/>
            </w:pPr>
            <w:r>
              <w:rPr>
                <w:rFonts w:ascii="Amiri" w:hAnsi="Amiri" w:cs="Amiri" w:eastAsia="Amiri"/>
                <w:b w:val="0"/>
                <w:i w:val="0"/>
                <w:color w:val="1F2933"/>
                <w:sz w:val="22"/>
                <w:rtl w:val="1"/>
              </w:rPr>
              <w:t>العربية؛ والمعرّفات البرمجية الإنجليزية مفسِّرة لا ناسخة</w:t>
            </w:r>
          </w:p>
        </w:tc>
      </w:tr>
    </w:tbl>
    <w:p>
      <w:r>
        <w:br w:type="page"/>
      </w:r>
    </w:p>
    <w:p>
      <w:pPr>
        <w:pStyle w:val="Heading1"/>
        <w:jc w:val="right"/>
        <w:bidi w:val="1"/>
      </w:pPr>
      <w:r>
        <w:rPr>
          <w:rFonts w:ascii="Noto Sans Arabic" w:hAnsi="Noto Sans Arabic" w:cs="Noto Sans Arabic" w:eastAsia="Noto Sans Arabic"/>
          <w:b/>
          <w:i w:val="0"/>
          <w:color w:val="16324F"/>
          <w:sz w:val="36"/>
          <w:rtl w:val="1"/>
        </w:rPr>
        <w:t>فهرس الوثيقة</w:t>
      </w:r>
    </w:p>
    <w:p>
      <w:pPr>
        <w:spacing w:after="40"/>
        <w:jc w:val="right"/>
        <w:bidi w:val="1"/>
      </w:pPr>
      <w:r>
        <w:rPr>
          <w:rFonts w:ascii="Noto Sans Arabic" w:hAnsi="Noto Sans Arabic" w:cs="Noto Sans Arabic" w:eastAsia="Noto Sans Arabic"/>
          <w:b/>
          <w:i w:val="0"/>
          <w:color w:val="B58A3B"/>
          <w:sz w:val="23"/>
          <w:rtl w:val="1"/>
        </w:rPr>
        <w:t xml:space="preserve">الديباجة  </w:t>
      </w:r>
      <w:r>
        <w:rPr>
          <w:rFonts w:ascii="Amiri" w:hAnsi="Amiri" w:cs="Amiri" w:eastAsia="Amiri"/>
          <w:b w:val="0"/>
          <w:i w:val="0"/>
          <w:color w:val="1F2933"/>
          <w:sz w:val="23"/>
          <w:rtl w:val="1"/>
        </w:rPr>
        <w:t>الضرورة النظرية والتنفيذية للتعديل</w:t>
      </w:r>
    </w:p>
    <w:p>
      <w:pPr>
        <w:spacing w:after="40"/>
        <w:jc w:val="right"/>
        <w:bidi w:val="1"/>
      </w:pPr>
      <w:r>
        <w:rPr>
          <w:rFonts w:ascii="Noto Sans Arabic" w:hAnsi="Noto Sans Arabic" w:cs="Noto Sans Arabic" w:eastAsia="Noto Sans Arabic"/>
          <w:b/>
          <w:i w:val="0"/>
          <w:color w:val="B58A3B"/>
          <w:sz w:val="23"/>
          <w:rtl w:val="1"/>
        </w:rPr>
        <w:t xml:space="preserve">الباب الأول  </w:t>
      </w:r>
      <w:r>
        <w:rPr>
          <w:rFonts w:ascii="Amiri" w:hAnsi="Amiri" w:cs="Amiri" w:eastAsia="Amiri"/>
          <w:b w:val="0"/>
          <w:i w:val="0"/>
          <w:color w:val="1F2933"/>
          <w:sz w:val="23"/>
          <w:rtl w:val="1"/>
        </w:rPr>
        <w:t>السلطة الدستورية، النطاق، ومراتب المرجعية</w:t>
      </w:r>
    </w:p>
    <w:p>
      <w:pPr>
        <w:spacing w:after="40"/>
        <w:jc w:val="right"/>
        <w:bidi w:val="1"/>
      </w:pPr>
      <w:r>
        <w:rPr>
          <w:rFonts w:ascii="Noto Sans Arabic" w:hAnsi="Noto Sans Arabic" w:cs="Noto Sans Arabic" w:eastAsia="Noto Sans Arabic"/>
          <w:b/>
          <w:i w:val="0"/>
          <w:color w:val="B58A3B"/>
          <w:sz w:val="23"/>
          <w:rtl w:val="1"/>
        </w:rPr>
        <w:t xml:space="preserve">الباب الثاني  </w:t>
      </w:r>
      <w:r>
        <w:rPr>
          <w:rFonts w:ascii="Amiri" w:hAnsi="Amiri" w:cs="Amiri" w:eastAsia="Amiri"/>
          <w:b w:val="0"/>
          <w:i w:val="0"/>
          <w:color w:val="1F2933"/>
          <w:sz w:val="23"/>
          <w:rtl w:val="1"/>
        </w:rPr>
        <w:t>المناطق الدستورية الأربع وحدود الملكية</w:t>
      </w:r>
    </w:p>
    <w:p>
      <w:pPr>
        <w:spacing w:after="40"/>
        <w:jc w:val="right"/>
        <w:bidi w:val="1"/>
      </w:pPr>
      <w:r>
        <w:rPr>
          <w:rFonts w:ascii="Noto Sans Arabic" w:hAnsi="Noto Sans Arabic" w:cs="Noto Sans Arabic" w:eastAsia="Noto Sans Arabic"/>
          <w:b/>
          <w:i w:val="0"/>
          <w:color w:val="B58A3B"/>
          <w:sz w:val="23"/>
          <w:rtl w:val="1"/>
        </w:rPr>
        <w:t xml:space="preserve">الباب الثالث  </w:t>
      </w:r>
      <w:r>
        <w:rPr>
          <w:rFonts w:ascii="Amiri" w:hAnsi="Amiri" w:cs="Amiri" w:eastAsia="Amiri"/>
          <w:b w:val="0"/>
          <w:i w:val="0"/>
          <w:color w:val="1F2933"/>
          <w:sz w:val="23"/>
          <w:rtl w:val="1"/>
        </w:rPr>
        <w:t>منشأ الادعاء والتكوين المعرفي السابق للحكم</w:t>
      </w:r>
    </w:p>
    <w:p>
      <w:pPr>
        <w:spacing w:after="40"/>
        <w:jc w:val="right"/>
        <w:bidi w:val="1"/>
      </w:pPr>
      <w:r>
        <w:rPr>
          <w:rFonts w:ascii="Noto Sans Arabic" w:hAnsi="Noto Sans Arabic" w:cs="Noto Sans Arabic" w:eastAsia="Noto Sans Arabic"/>
          <w:b/>
          <w:i w:val="0"/>
          <w:color w:val="B58A3B"/>
          <w:sz w:val="23"/>
          <w:rtl w:val="1"/>
        </w:rPr>
        <w:t xml:space="preserve">الباب الرابع  </w:t>
      </w:r>
      <w:r>
        <w:rPr>
          <w:rFonts w:ascii="Amiri" w:hAnsi="Amiri" w:cs="Amiri" w:eastAsia="Amiri"/>
          <w:b w:val="0"/>
          <w:i w:val="0"/>
          <w:color w:val="1F2933"/>
          <w:sz w:val="23"/>
          <w:rtl w:val="1"/>
        </w:rPr>
        <w:t>النواة الحكمية: من الوضع إلى البقايا</w:t>
      </w:r>
    </w:p>
    <w:p>
      <w:pPr>
        <w:spacing w:after="40"/>
        <w:jc w:val="right"/>
        <w:bidi w:val="1"/>
      </w:pPr>
      <w:r>
        <w:rPr>
          <w:rFonts w:ascii="Noto Sans Arabic" w:hAnsi="Noto Sans Arabic" w:cs="Noto Sans Arabic" w:eastAsia="Noto Sans Arabic"/>
          <w:b/>
          <w:i w:val="0"/>
          <w:color w:val="B58A3B"/>
          <w:sz w:val="23"/>
          <w:rtl w:val="1"/>
        </w:rPr>
        <w:t xml:space="preserve">الباب الخامس  </w:t>
      </w:r>
      <w:r>
        <w:rPr>
          <w:rFonts w:ascii="Amiri" w:hAnsi="Amiri" w:cs="Amiri" w:eastAsia="Amiri"/>
          <w:b w:val="0"/>
          <w:i w:val="0"/>
          <w:color w:val="1F2933"/>
          <w:sz w:val="23"/>
          <w:rtl w:val="1"/>
        </w:rPr>
        <w:t>الدليل، الرتبة، المجال، ومنع غسل الأدلة</w:t>
      </w:r>
    </w:p>
    <w:p>
      <w:pPr>
        <w:spacing w:after="40"/>
        <w:jc w:val="right"/>
        <w:bidi w:val="1"/>
      </w:pPr>
      <w:r>
        <w:rPr>
          <w:rFonts w:ascii="Noto Sans Arabic" w:hAnsi="Noto Sans Arabic" w:cs="Noto Sans Arabic" w:eastAsia="Noto Sans Arabic"/>
          <w:b/>
          <w:i w:val="0"/>
          <w:color w:val="B58A3B"/>
          <w:sz w:val="23"/>
          <w:rtl w:val="1"/>
        </w:rPr>
        <w:t xml:space="preserve">الباب السادس  </w:t>
      </w:r>
      <w:r>
        <w:rPr>
          <w:rFonts w:ascii="Amiri" w:hAnsi="Amiri" w:cs="Amiri" w:eastAsia="Amiri"/>
          <w:b w:val="0"/>
          <w:i w:val="0"/>
          <w:color w:val="1F2933"/>
          <w:sz w:val="23"/>
          <w:rtl w:val="1"/>
        </w:rPr>
        <w:t>التطبيق والفعل والأثر الواقعي واختبار المطابقة</w:t>
      </w:r>
    </w:p>
    <w:p>
      <w:pPr>
        <w:spacing w:after="40"/>
        <w:jc w:val="right"/>
        <w:bidi w:val="1"/>
      </w:pPr>
      <w:r>
        <w:rPr>
          <w:rFonts w:ascii="Noto Sans Arabic" w:hAnsi="Noto Sans Arabic" w:cs="Noto Sans Arabic" w:eastAsia="Noto Sans Arabic"/>
          <w:b/>
          <w:i w:val="0"/>
          <w:color w:val="B58A3B"/>
          <w:sz w:val="23"/>
          <w:rtl w:val="1"/>
        </w:rPr>
        <w:t xml:space="preserve">الباب السابع  </w:t>
      </w:r>
      <w:r>
        <w:rPr>
          <w:rFonts w:ascii="Amiri" w:hAnsi="Amiri" w:cs="Amiri" w:eastAsia="Amiri"/>
          <w:b w:val="0"/>
          <w:i w:val="0"/>
          <w:color w:val="1F2933"/>
          <w:sz w:val="23"/>
          <w:rtl w:val="1"/>
        </w:rPr>
        <w:t>الأثر المحفوظ، البقايا، المراجعة، والإصلاح</w:t>
      </w:r>
    </w:p>
    <w:p>
      <w:pPr>
        <w:spacing w:after="40"/>
        <w:jc w:val="right"/>
        <w:bidi w:val="1"/>
      </w:pPr>
      <w:r>
        <w:rPr>
          <w:rFonts w:ascii="Noto Sans Arabic" w:hAnsi="Noto Sans Arabic" w:cs="Noto Sans Arabic" w:eastAsia="Noto Sans Arabic"/>
          <w:b/>
          <w:i w:val="0"/>
          <w:color w:val="B58A3B"/>
          <w:sz w:val="23"/>
          <w:rtl w:val="1"/>
        </w:rPr>
        <w:t xml:space="preserve">الباب الثامن  </w:t>
      </w:r>
      <w:r>
        <w:rPr>
          <w:rFonts w:ascii="Amiri" w:hAnsi="Amiri" w:cs="Amiri" w:eastAsia="Amiri"/>
          <w:b w:val="0"/>
          <w:i w:val="0"/>
          <w:color w:val="1F2933"/>
          <w:sz w:val="23"/>
          <w:rtl w:val="1"/>
        </w:rPr>
        <w:t>العقود الكنسية والصياغة الجبرية للانتقال</w:t>
      </w:r>
    </w:p>
    <w:p>
      <w:pPr>
        <w:spacing w:after="40"/>
        <w:jc w:val="right"/>
        <w:bidi w:val="1"/>
      </w:pPr>
      <w:r>
        <w:rPr>
          <w:rFonts w:ascii="Noto Sans Arabic" w:hAnsi="Noto Sans Arabic" w:cs="Noto Sans Arabic" w:eastAsia="Noto Sans Arabic"/>
          <w:b/>
          <w:i w:val="0"/>
          <w:color w:val="B58A3B"/>
          <w:sz w:val="23"/>
          <w:rtl w:val="1"/>
        </w:rPr>
        <w:t xml:space="preserve">الباب التاسع  </w:t>
      </w:r>
      <w:r>
        <w:rPr>
          <w:rFonts w:ascii="Amiri" w:hAnsi="Amiri" w:cs="Amiri" w:eastAsia="Amiri"/>
          <w:b w:val="0"/>
          <w:i w:val="0"/>
          <w:color w:val="1F2933"/>
          <w:sz w:val="23"/>
          <w:rtl w:val="1"/>
        </w:rPr>
        <w:t>التوافق مع SCG وP0–P12 وحدود HR2S</w:t>
      </w:r>
    </w:p>
    <w:p>
      <w:pPr>
        <w:spacing w:after="40"/>
        <w:jc w:val="right"/>
        <w:bidi w:val="1"/>
      </w:pPr>
      <w:r>
        <w:rPr>
          <w:rFonts w:ascii="Noto Sans Arabic" w:hAnsi="Noto Sans Arabic" w:cs="Noto Sans Arabic" w:eastAsia="Noto Sans Arabic"/>
          <w:b/>
          <w:i w:val="0"/>
          <w:color w:val="B58A3B"/>
          <w:sz w:val="23"/>
          <w:rtl w:val="1"/>
        </w:rPr>
        <w:t xml:space="preserve">الباب العاشر  </w:t>
      </w:r>
      <w:r>
        <w:rPr>
          <w:rFonts w:ascii="Amiri" w:hAnsi="Amiri" w:cs="Amiri" w:eastAsia="Amiri"/>
          <w:b w:val="0"/>
          <w:i w:val="0"/>
          <w:color w:val="1F2933"/>
          <w:sz w:val="23"/>
          <w:rtl w:val="1"/>
        </w:rPr>
        <w:t>النفاذ، الاختبارات الدستورية، وآلية التعديل</w:t>
      </w:r>
    </w:p>
    <w:p>
      <w:pPr>
        <w:bidi w:val="1"/>
        <w:jc w:val="right"/>
      </w:pPr>
      <w:r>
        <w:rPr>
          <w:b w:val="0"/>
          <w:rtl w:val="1"/>
        </w:rPr>
        <w:t>الباب الحادي عشر  سلامة بيئة التنفيذ، حرمة الاختبارات، وصدق الإغلاق</w:t>
      </w:r>
    </w:p>
    <w:p>
      <w:pPr>
        <w:spacing w:after="40"/>
        <w:jc w:val="right"/>
        <w:bidi w:val="1"/>
      </w:pPr>
      <w:r>
        <w:rPr>
          <w:rFonts w:ascii="Noto Sans Arabic" w:hAnsi="Noto Sans Arabic" w:cs="Noto Sans Arabic" w:eastAsia="Noto Sans Arabic"/>
          <w:b/>
          <w:i w:val="0"/>
          <w:color w:val="B58A3B"/>
          <w:sz w:val="23"/>
          <w:rtl w:val="1"/>
        </w:rPr>
        <w:t xml:space="preserve">الملحق أ  </w:t>
      </w:r>
      <w:r>
        <w:rPr>
          <w:rFonts w:ascii="Amiri" w:hAnsi="Amiri" w:cs="Amiri" w:eastAsia="Amiri"/>
          <w:b w:val="0"/>
          <w:i w:val="0"/>
          <w:color w:val="1F2933"/>
          <w:sz w:val="23"/>
          <w:rtl w:val="1"/>
        </w:rPr>
        <w:t>المصطلحات الحاكمة</w:t>
      </w:r>
    </w:p>
    <w:p>
      <w:pPr>
        <w:spacing w:after="40"/>
        <w:jc w:val="right"/>
        <w:bidi w:val="1"/>
      </w:pPr>
      <w:r>
        <w:rPr>
          <w:rFonts w:ascii="Noto Sans Arabic" w:hAnsi="Noto Sans Arabic" w:cs="Noto Sans Arabic" w:eastAsia="Noto Sans Arabic"/>
          <w:b/>
          <w:i w:val="0"/>
          <w:color w:val="B58A3B"/>
          <w:sz w:val="23"/>
          <w:rtl w:val="1"/>
        </w:rPr>
        <w:t xml:space="preserve">الملحق ب  </w:t>
      </w:r>
      <w:r>
        <w:rPr>
          <w:rFonts w:ascii="Amiri" w:hAnsi="Amiri" w:cs="Amiri" w:eastAsia="Amiri"/>
          <w:b w:val="0"/>
          <w:i w:val="0"/>
          <w:color w:val="1F2933"/>
          <w:sz w:val="23"/>
          <w:rtl w:val="1"/>
        </w:rPr>
        <w:t>مصفوفة مواءمة SLGE مع Hokom–Taaqol</w:t>
      </w:r>
    </w:p>
    <w:p>
      <w:pPr>
        <w:spacing w:after="40"/>
        <w:jc w:val="right"/>
        <w:bidi w:val="1"/>
      </w:pPr>
      <w:r>
        <w:rPr>
          <w:rFonts w:ascii="Noto Sans Arabic" w:hAnsi="Noto Sans Arabic" w:cs="Noto Sans Arabic" w:eastAsia="Noto Sans Arabic"/>
          <w:b/>
          <w:i w:val="0"/>
          <w:color w:val="B58A3B"/>
          <w:sz w:val="23"/>
          <w:rtl w:val="1"/>
        </w:rPr>
        <w:t xml:space="preserve">الملحق ج  </w:t>
      </w:r>
      <w:r>
        <w:rPr>
          <w:rFonts w:ascii="Amiri" w:hAnsi="Amiri" w:cs="Amiri" w:eastAsia="Amiri"/>
          <w:b w:val="0"/>
          <w:i w:val="0"/>
          <w:color w:val="1F2933"/>
          <w:sz w:val="23"/>
          <w:rtl w:val="1"/>
        </w:rPr>
        <w:t>قائمة الثوابت والاختبارات غير القابلة للتراجع</w:t>
      </w:r>
    </w:p>
    <w:p>
      <w:r>
        <w:br w:type="page"/>
      </w:r>
    </w:p>
    <w:p>
      <w:pPr>
        <w:pStyle w:val="Heading1"/>
        <w:jc w:val="right"/>
        <w:bidi w:val="1"/>
      </w:pPr>
      <w:r>
        <w:rPr>
          <w:rFonts w:ascii="Noto Sans Arabic" w:hAnsi="Noto Sans Arabic" w:cs="Noto Sans Arabic" w:eastAsia="Noto Sans Arabic"/>
          <w:b/>
          <w:i w:val="0"/>
          <w:color w:val="16324F"/>
          <w:sz w:val="36"/>
          <w:rtl w:val="1"/>
        </w:rPr>
        <w:t>الديباجة</w:t>
      </w:r>
    </w:p>
    <w:p>
      <w:pPr>
        <w:spacing w:after="100" w:line="283" w:lineRule="auto"/>
        <w:jc w:val="right"/>
        <w:keepNext w:val="0"/>
        <w:bidi w:val="1"/>
      </w:pPr>
      <w:r>
        <w:rPr>
          <w:rFonts w:ascii="Amiri" w:hAnsi="Amiri" w:cs="Amiri" w:eastAsia="Amiri"/>
          <w:b w:val="0"/>
          <w:i w:val="0"/>
          <w:color w:val="1F2933"/>
          <w:sz w:val="24"/>
          <w:rtl w:val="1"/>
        </w:rPr>
        <w:t>لما كان مشروع Hokom–Taaqol قد بُني على أن الانتقال المعرفي والحكمي ليس قفزةً من النص إلى النتيجة، بل سلسلة من الخانات المرخّصة التي تحفظ الهوية، وتعيّن المجال، وتطلب الدليل، وتمنع تزوير الرتبة، وتُظهر المانع والقادح والبقايا؛ ولما كانت البنية الحالية قد أحكمت جانبًا جوهريًا من التحقيق الصرفي واللغوي والحكمي، لكنها لم تُدستر بعد بصورة جامعة منشأ الادعاء قبل دخوله إلى Hokom، ولا بنية المفهوم والإفادة، ولا نوع الواقع المطلوب للمطابقة، ولا مسار التطبيق والأثر والمراجعة بعد الترخيص؛ فقد وُضع هذا التعديل لإغلاق تلك الفجوات من غير هدم للنواة القائمة أو إنشاء سجل طبقات موازٍ.</w:t>
      </w:r>
    </w:p>
    <w:p>
      <w:pPr>
        <w:spacing w:after="100" w:line="283" w:lineRule="auto"/>
        <w:jc w:val="right"/>
        <w:keepNext w:val="0"/>
        <w:bidi w:val="1"/>
      </w:pPr>
      <w:r>
        <w:rPr>
          <w:rFonts w:ascii="Amiri" w:hAnsi="Amiri" w:cs="Amiri" w:eastAsia="Amiri"/>
          <w:b w:val="0"/>
          <w:i w:val="0"/>
          <w:color w:val="1F2933"/>
          <w:sz w:val="24"/>
          <w:rtl w:val="1"/>
        </w:rPr>
        <w:t>ويُبنى هذا التعديل على قاعدة أن النظرية العليا تشرح مناطق المعرفة، بينما السجل الكنسي SCG يحدد الطبقات التنفيذية، ونواة Hokom تحقق شروط الحكم، والمحقق Verifier يصدر الحالة التشغيلية، ومنطقة المطابقة تختبر الأثر في الواقع. ولا يملك أي مستوى منها أن يبتلع وظيفة المستوى الآخر أو أن يستعير رتبته بلا عقد عبور معلن.</w:t>
      </w:r>
    </w:p>
    <w:tbl>
      <w:tblPr>
        <w:tblW w:type="auto" w:w="0"/>
        <w:jc w:val="center"/>
        <w:tblLook w:firstColumn="1" w:firstRow="1" w:lastColumn="0" w:lastRow="0" w:noHBand="0" w:noVBand="1" w:val="04A0"/>
      </w:tblPr>
      <w:tblGrid>
        <w:gridCol w:w="9524"/>
      </w:tblGrid>
      <w:tr>
        <w:tc>
          <w:tcPr>
            <w:tcW w:type="dxa" w:w="9524"/>
            <w:shd w:fill="EAF4EF"/>
            <w:tcMar>
              <w:top w:w="150" w:type="dxa"/>
              <w:start w:w="190" w:type="dxa"/>
              <w:bottom w:w="150" w:type="dxa"/>
              <w:end w:w="190" w:type="dxa"/>
            </w:tcMar>
          </w:tcPr>
          <w:p>
            <w:pPr>
              <w:jc w:val="right"/>
              <w:bidi w:val="1"/>
            </w:pPr>
            <w:r>
              <w:rPr>
                <w:rFonts w:ascii="Noto Sans Arabic" w:hAnsi="Noto Sans Arabic" w:cs="Noto Sans Arabic" w:eastAsia="Noto Sans Arabic"/>
                <w:b/>
                <w:i w:val="0"/>
                <w:color w:val="2E6B4F"/>
                <w:sz w:val="25"/>
                <w:rtl w:val="1"/>
              </w:rPr>
              <w:t>القرار الدستوري الجامع</w:t>
            </w:r>
          </w:p>
          <w:p>
            <w:pPr>
              <w:jc w:val="right"/>
              <w:bidi w:val="1"/>
            </w:pPr>
            <w:r>
              <w:rPr>
                <w:rFonts w:ascii="Amiri" w:hAnsi="Amiri" w:cs="Amiri" w:eastAsia="Amiri"/>
                <w:b w:val="0"/>
                <w:i w:val="0"/>
                <w:color w:val="1F2933"/>
                <w:sz w:val="24"/>
                <w:rtl w:val="1"/>
              </w:rPr>
              <w:t>يُعتمد هذا التعديل توسعةً محافظةً للدستور الحالي: يضيف ما قبل الحكم وما بعده، ويُبقي سلسلة الحكم وSCG ومخرجات المحقق وسُلّم الأدلة وملكية Hokom الصرفية موادَّ محصّنة.</w:t>
            </w:r>
          </w:p>
        </w:tc>
      </w:tr>
    </w:tbl>
    <w:p>
      <w:pPr>
        <w:spacing w:after="20"/>
      </w:pPr>
    </w:p>
    <w:p>
      <w:pPr>
        <w:pStyle w:val="Heading1"/>
        <w:pageBreakBefore/>
        <w:jc w:val="right"/>
        <w:bidi w:val="1"/>
      </w:pPr>
      <w:r>
        <w:rPr>
          <w:rFonts w:ascii="Noto Sans Arabic" w:hAnsi="Noto Sans Arabic" w:cs="Noto Sans Arabic" w:eastAsia="Noto Sans Arabic"/>
          <w:b/>
          <w:i w:val="0"/>
          <w:color w:val="16324F"/>
          <w:sz w:val="36"/>
          <w:rtl w:val="1"/>
        </w:rPr>
        <w:t>الباب الأول — السلطة الدستورية، النطاق، ومراتب المرجعية</w:t>
      </w:r>
    </w:p>
    <w:p>
      <w:pPr>
        <w:spacing w:before="140" w:after="80"/>
        <w:jc w:val="right"/>
        <w:keepNext/>
        <w:bidi w:val="1"/>
      </w:pPr>
      <w:r>
        <w:rPr>
          <w:rFonts w:ascii="Noto Sans Arabic" w:hAnsi="Noto Sans Arabic" w:cs="Noto Sans Arabic" w:eastAsia="Noto Sans Arabic"/>
          <w:b/>
          <w:i w:val="0"/>
          <w:color w:val="2F6F73"/>
          <w:sz w:val="26"/>
          <w:rtl w:val="1"/>
        </w:rPr>
        <w:t>المادة (1): الغرض من التعديل</w:t>
      </w:r>
    </w:p>
    <w:p>
      <w:pPr>
        <w:spacing w:after="100" w:line="283" w:lineRule="auto"/>
        <w:jc w:val="right"/>
        <w:keepNext w:val="0"/>
        <w:bidi w:val="1"/>
      </w:pPr>
      <w:r>
        <w:rPr>
          <w:rFonts w:ascii="Amiri" w:hAnsi="Amiri" w:cs="Amiri" w:eastAsia="Amiri"/>
          <w:b w:val="0"/>
          <w:i w:val="0"/>
          <w:color w:val="1F2933"/>
          <w:sz w:val="24"/>
          <w:rtl w:val="1"/>
        </w:rPr>
        <w:t>الغرض من هذا التعديل هو إكمال المعمار الدستوري للمشروع بإضافة عقود منشأ الادعاء، وبناء المفهوم، والإفادة المرشحة، وتحديد نوع الواقع، والتطبيق، والأثر المتحقق، والمطابقة، والمراجعة، والإصلاح؛ مع إبقاء جميع العقود الحالية النافذة على حالها ما لم يرد نص صريح بخلاف ذلك.</w:t>
      </w:r>
    </w:p>
    <w:p>
      <w:pPr>
        <w:spacing w:after="100" w:line="283" w:lineRule="auto"/>
        <w:jc w:val="right"/>
        <w:keepNext w:val="0"/>
        <w:bidi w:val="1"/>
      </w:pPr>
      <w:r>
        <w:rPr>
          <w:rFonts w:ascii="Amiri" w:hAnsi="Amiri" w:cs="Amiri" w:eastAsia="Amiri"/>
          <w:b w:val="0"/>
          <w:i w:val="0"/>
          <w:color w:val="1F2933"/>
          <w:sz w:val="24"/>
          <w:rtl w:val="1"/>
        </w:rPr>
        <w:t>ولا يُفهم من الإكمال أن المراحل المضافة منفذة برمجيًا بمجرد ورودها في الدستور؛ فالنفاذ النظري يسبق التنفيذ، والتنفيذ لا يثبت إلا بعقد، وسجل، واختبارات، وتقرير قبول.</w:t>
      </w:r>
    </w:p>
    <w:p>
      <w:pPr>
        <w:spacing w:before="140" w:after="80"/>
        <w:jc w:val="right"/>
        <w:keepNext/>
        <w:bidi w:val="1"/>
      </w:pPr>
      <w:r>
        <w:rPr>
          <w:rFonts w:ascii="Noto Sans Arabic" w:hAnsi="Noto Sans Arabic" w:cs="Noto Sans Arabic" w:eastAsia="Noto Sans Arabic"/>
          <w:b/>
          <w:i w:val="0"/>
          <w:color w:val="2F6F73"/>
          <w:sz w:val="26"/>
          <w:rtl w:val="1"/>
        </w:rPr>
        <w:t>المادة (2): مجال السريان</w:t>
      </w:r>
    </w:p>
    <w:p>
      <w:pPr>
        <w:spacing w:after="100" w:line="283" w:lineRule="auto"/>
        <w:jc w:val="right"/>
        <w:keepNext w:val="0"/>
        <w:bidi w:val="1"/>
      </w:pPr>
      <w:r>
        <w:rPr>
          <w:rFonts w:ascii="Amiri" w:hAnsi="Amiri" w:cs="Amiri" w:eastAsia="Amiri"/>
          <w:b w:val="0"/>
          <w:i w:val="0"/>
          <w:color w:val="1F2933"/>
          <w:sz w:val="24"/>
          <w:rtl w:val="1"/>
        </w:rPr>
        <w:t>يسري هذا التعديل على جميع مسارات Hokom–Taaqol التي تُنشئ ادعاءً أو تستقبله أو تنقله أو ترخصه أو تمنعه أو تؤجله أو تصنف بقاياه أو تختبر أثره.</w:t>
      </w:r>
    </w:p>
    <w:p>
      <w:pPr>
        <w:spacing w:after="100" w:line="283" w:lineRule="auto"/>
        <w:jc w:val="right"/>
        <w:keepNext w:val="0"/>
        <w:bidi w:val="1"/>
      </w:pPr>
      <w:r>
        <w:rPr>
          <w:rFonts w:ascii="Amiri" w:hAnsi="Amiri" w:cs="Amiri" w:eastAsia="Amiri"/>
          <w:b w:val="0"/>
          <w:i w:val="0"/>
          <w:color w:val="1F2933"/>
          <w:sz w:val="24"/>
          <w:rtl w:val="1"/>
        </w:rPr>
        <w:t>ويشمل ذلك المسارات اللغوية والصرفية والتركيبية والدلالية والنصية والقانونية والرياضية والبرمجية، مع بقاء كل مجال خاضعًا لأدلته وحدوده ومقاييس مطابقته.</w:t>
      </w:r>
    </w:p>
    <w:p>
      <w:pPr>
        <w:spacing w:before="140" w:after="80"/>
        <w:jc w:val="right"/>
        <w:keepNext/>
        <w:bidi w:val="1"/>
      </w:pPr>
      <w:r>
        <w:rPr>
          <w:rFonts w:ascii="Noto Sans Arabic" w:hAnsi="Noto Sans Arabic" w:cs="Noto Sans Arabic" w:eastAsia="Noto Sans Arabic"/>
          <w:b/>
          <w:i w:val="0"/>
          <w:color w:val="2F6F73"/>
          <w:sz w:val="26"/>
          <w:rtl w:val="1"/>
        </w:rPr>
        <w:t>المادة (3): مراتب المرجعية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الدستور والمواد المحصنة: المرجع الأعلى الذي لا يجوز لكود أو سجل أو وثيقة تشغيلية مخالفته.</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السجل الكنسي SCG: المرجع الوحيد لترتيب الطبقات التنفيذية وحالتها IMPLEMENTED أو غيرها.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العقود والمخططات الكنسية: المرجع لأشكال البيانات وحدود الحقول والعلاقات.</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ملفات المجال والكتالوجات: المرجع للمعرفة الخاصة بمجال بعينه.</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التنفيذ والاختبارات: يثبتان ما هو منفذ فعلًا، ولا يملكان نسخ الدستور بالصمت.</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التقارير والخرائط التفسيرية: تشرح ولا تنسخ المرجع الأعلى.</w:t>
      </w:r>
    </w:p>
    <w:p>
      <w:pPr>
        <w:spacing w:before="140" w:after="80"/>
        <w:jc w:val="right"/>
        <w:keepNext/>
        <w:bidi w:val="1"/>
      </w:pPr>
      <w:r>
        <w:rPr>
          <w:rFonts w:ascii="Noto Sans Arabic" w:hAnsi="Noto Sans Arabic" w:cs="Noto Sans Arabic" w:eastAsia="Noto Sans Arabic"/>
          <w:b/>
          <w:i w:val="0"/>
          <w:color w:val="2F6F73"/>
          <w:sz w:val="26"/>
          <w:rtl w:val="1"/>
        </w:rPr>
        <w:t>المادة (4): قاعدة التعارض</w:t>
      </w:r>
    </w:p>
    <w:p>
      <w:pPr>
        <w:spacing w:after="100" w:line="283" w:lineRule="auto"/>
        <w:jc w:val="right"/>
        <w:keepNext w:val="0"/>
        <w:bidi w:val="1"/>
      </w:pPr>
      <w:r>
        <w:rPr>
          <w:rFonts w:ascii="Amiri" w:hAnsi="Amiri" w:cs="Amiri" w:eastAsia="Amiri"/>
          <w:b w:val="0"/>
          <w:i w:val="0"/>
          <w:color w:val="1F2933"/>
          <w:sz w:val="24"/>
          <w:rtl w:val="1"/>
        </w:rPr>
        <w:t>إذا تعارض نص تفسيري أو خريطة أو مثال مع مادة محصنة أو عقد كنسي نافذ، قُدِّم النص الأعلى رتبة، وسُجِّل التعارض كبقايا دستورية واجبة المعالجة، ولم يُسمح بتسوية التعارض عبر تعديل صامت في الكود.</w:t>
      </w:r>
    </w:p>
    <w:p>
      <w:pPr>
        <w:spacing w:before="140" w:after="80"/>
        <w:jc w:val="right"/>
        <w:keepNext/>
        <w:bidi w:val="1"/>
      </w:pPr>
      <w:r>
        <w:rPr>
          <w:rFonts w:ascii="Noto Sans Arabic" w:hAnsi="Noto Sans Arabic" w:cs="Noto Sans Arabic" w:eastAsia="Noto Sans Arabic"/>
          <w:b/>
          <w:i w:val="0"/>
          <w:color w:val="2F6F73"/>
          <w:sz w:val="26"/>
          <w:rtl w:val="1"/>
        </w:rPr>
        <w:t>المادة (5): المواد المحصنة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بنية SCG الحالية وعدد طبقاتها الكنسية وتسلسل P0–P12، إلى أن يصدر تعديل مستقل صريح.</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كون P12 نهايةً من نوع IfadahCandidate، لا معنى نهائيًا ولا حكمًا نهائيًا.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سلسلة الحكم: الوضع ثم السبب فالشرط فالمانع فالعلة فالقادح فالصحة فالفساد فالبطلان فالأثر فالبقايا.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الفصل بين رتبة الدليل، وحالة الادعاء، ونوعه، وطبقته، وحكمه الداخلي.</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مخرجات Verifier: Licensed وBlocked وDeferred وResidual.</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قانون عدم رفع رتبة النتيجة فوق أضعف مقدمة لازمة.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ملكية Hokom لاستخراج الجذر والوزن والمصدر والمشتقات وفق القرار الحالي.</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عدم منح HR2S أو أي محرك خارجي سلطة الترخيص النهائي.</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منع القفز من المفهوم أو الإفادة أو القاعدة المرشحة إلى الفعل.</w:t>
      </w:r>
    </w:p>
    <w:p>
      <w:pPr>
        <w:spacing w:before="140" w:after="80"/>
        <w:jc w:val="right"/>
        <w:keepNext/>
        <w:bidi w:val="1"/>
      </w:pPr>
      <w:r>
        <w:rPr>
          <w:rFonts w:ascii="Noto Sans Arabic" w:hAnsi="Noto Sans Arabic" w:cs="Noto Sans Arabic" w:eastAsia="Noto Sans Arabic"/>
          <w:b/>
          <w:i w:val="0"/>
          <w:color w:val="2F6F73"/>
          <w:sz w:val="26"/>
          <w:rtl w:val="1"/>
        </w:rPr>
        <w:t>المادة (6): قاعدة الإضافة لا الاستبدال</w:t>
      </w:r>
    </w:p>
    <w:p>
      <w:pPr>
        <w:spacing w:after="100" w:line="283" w:lineRule="auto"/>
        <w:jc w:val="right"/>
        <w:keepNext w:val="0"/>
        <w:bidi w:val="1"/>
      </w:pPr>
      <w:r>
        <w:rPr>
          <w:rFonts w:ascii="Amiri" w:hAnsi="Amiri" w:cs="Amiri" w:eastAsia="Amiri"/>
          <w:b w:val="0"/>
          <w:i w:val="0"/>
          <w:color w:val="1F2933"/>
          <w:sz w:val="24"/>
          <w:rtl w:val="1"/>
        </w:rPr>
        <w:t>كل عقد يضاف بموجب هذا التعديل يُنفذ ابتداءً بصورة إضافية متوافقة مع الواجهات القائمة. ولا تُحذف الحقول القديمة، ولا تتغير دلالاتها، ولا يعاد ترقيم الطبقات، إلا بهجرة معلنة واختبارات توافق عكسي.</w:t>
      </w:r>
    </w:p>
    <w:p>
      <w:pPr>
        <w:spacing w:before="140" w:after="80"/>
        <w:jc w:val="right"/>
        <w:keepNext/>
        <w:bidi w:val="1"/>
      </w:pPr>
      <w:r>
        <w:rPr>
          <w:rFonts w:ascii="Noto Sans Arabic" w:hAnsi="Noto Sans Arabic" w:cs="Noto Sans Arabic" w:eastAsia="Noto Sans Arabic"/>
          <w:b/>
          <w:i w:val="0"/>
          <w:color w:val="2F6F73"/>
          <w:sz w:val="26"/>
          <w:rtl w:val="1"/>
        </w:rPr>
        <w:t>المادة (7): قاعدة اللغة الحاكمة</w:t>
      </w:r>
    </w:p>
    <w:p>
      <w:pPr>
        <w:spacing w:after="100" w:line="283" w:lineRule="auto"/>
        <w:jc w:val="right"/>
        <w:keepNext w:val="0"/>
        <w:bidi w:val="1"/>
      </w:pPr>
      <w:r>
        <w:rPr>
          <w:rFonts w:ascii="Amiri" w:hAnsi="Amiri" w:cs="Amiri" w:eastAsia="Amiri"/>
          <w:b w:val="0"/>
          <w:i w:val="0"/>
          <w:color w:val="1F2933"/>
          <w:sz w:val="24"/>
          <w:rtl w:val="1"/>
        </w:rPr>
        <w:t>النص العربي هو الحاكم في المعنى الدستوري. وتستعمل المعرّفات الإنجليزية لتثبيت أسماء العقود والحقول البرمجية، ولا يجوز أن توسع مدلول النص العربي أو تضيق نطاقه دون مادة تفسيرية معتمدة.</w:t>
      </w:r>
    </w:p>
    <w:p>
      <w:pPr>
        <w:spacing w:before="140" w:after="80"/>
        <w:jc w:val="right"/>
        <w:keepNext/>
        <w:bidi w:val="1"/>
      </w:pPr>
      <w:r>
        <w:rPr>
          <w:rFonts w:ascii="Noto Sans Arabic" w:hAnsi="Noto Sans Arabic" w:cs="Noto Sans Arabic" w:eastAsia="Noto Sans Arabic"/>
          <w:b/>
          <w:i w:val="0"/>
          <w:color w:val="2F6F73"/>
          <w:sz w:val="26"/>
          <w:rtl w:val="1"/>
        </w:rPr>
        <w:t>المادة (8): قاعدة عدم الادعاء بالتنفيذ</w:t>
      </w:r>
    </w:p>
    <w:p>
      <w:pPr>
        <w:spacing w:after="100" w:line="283" w:lineRule="auto"/>
        <w:jc w:val="right"/>
        <w:keepNext w:val="0"/>
        <w:bidi w:val="1"/>
      </w:pPr>
      <w:r>
        <w:rPr>
          <w:rFonts w:ascii="Amiri" w:hAnsi="Amiri" w:cs="Amiri" w:eastAsia="Amiri"/>
          <w:b w:val="0"/>
          <w:i w:val="0"/>
          <w:color w:val="1F2933"/>
          <w:sz w:val="24"/>
          <w:rtl w:val="1"/>
        </w:rPr>
        <w:t>لا يكفي وجود اسم طبقة أو بنية بيانات أو توثيق لإعلان التنفيذ. التنفيذ لا يثبت إلا بمسار مستخدم فعليًا، واختبارات ناجحة، وعدم وجود ازدواج أو زرع أمثلة أو اختصارات تتجاوز البوابات.</w:t>
      </w:r>
    </w:p>
    <w:p>
      <w:pPr>
        <w:pStyle w:val="Heading1"/>
        <w:pageBreakBefore/>
        <w:jc w:val="right"/>
        <w:bidi w:val="1"/>
      </w:pPr>
      <w:r>
        <w:rPr>
          <w:rFonts w:ascii="Noto Sans Arabic" w:hAnsi="Noto Sans Arabic" w:cs="Noto Sans Arabic" w:eastAsia="Noto Sans Arabic"/>
          <w:b/>
          <w:i w:val="0"/>
          <w:color w:val="16324F"/>
          <w:sz w:val="36"/>
          <w:rtl w:val="1"/>
        </w:rPr>
        <w:t>الباب الثاني — المناطق الدستورية الأربع وحدود الملكية</w:t>
      </w:r>
    </w:p>
    <w:tbl>
      <w:tblPr>
        <w:tblW w:type="auto" w:w="0"/>
        <w:jc w:val="center"/>
        <w:tblLook w:firstColumn="1" w:firstRow="1" w:lastColumn="0" w:lastRow="0" w:noHBand="0" w:noVBand="1" w:val="04A0"/>
      </w:tblPr>
      <w:tblGrid>
        <w:gridCol w:w="9524"/>
      </w:tblGrid>
      <w:tr>
        <w:tc>
          <w:tcPr>
            <w:tcW w:type="dxa" w:w="9524"/>
            <w:shd w:fill="F6F0E3"/>
            <w:tcMar>
              <w:top w:w="150" w:type="dxa"/>
              <w:start w:w="190" w:type="dxa"/>
              <w:bottom w:w="150" w:type="dxa"/>
              <w:end w:w="190" w:type="dxa"/>
            </w:tcMar>
          </w:tcPr>
          <w:p>
            <w:pPr>
              <w:jc w:val="right"/>
              <w:bidi w:val="1"/>
            </w:pPr>
            <w:r>
              <w:rPr>
                <w:rFonts w:ascii="Noto Sans Arabic" w:hAnsi="Noto Sans Arabic" w:cs="Noto Sans Arabic" w:eastAsia="Noto Sans Arabic"/>
                <w:b/>
                <w:i w:val="0"/>
                <w:color w:val="16324F"/>
                <w:sz w:val="25"/>
                <w:rtl w:val="1"/>
              </w:rPr>
              <w:t>المعمار الأعلى</w:t>
            </w:r>
          </w:p>
          <w:p>
            <w:pPr>
              <w:jc w:val="right"/>
              <w:bidi w:val="1"/>
            </w:pPr>
            <w:r>
              <w:rPr>
                <w:rFonts w:ascii="Amiri" w:hAnsi="Amiri" w:cs="Amiri" w:eastAsia="Amiri"/>
                <w:b w:val="0"/>
                <w:i w:val="0"/>
                <w:color w:val="1F2933"/>
                <w:sz w:val="24"/>
                <w:rtl w:val="1"/>
              </w:rPr>
              <w:t>Taaqol يكوّن المرشحات ويحفظ منشأها؛ Hokom يحقق شروط الحكم؛ Verifier يصدر الحالة التشغيلية؛ Correspondence يختبر التطبيق والأثر والمطابقة.</w:t>
            </w:r>
          </w:p>
        </w:tc>
      </w:tr>
    </w:tbl>
    <w:p>
      <w:pPr>
        <w:spacing w:after="20"/>
      </w:pPr>
    </w:p>
    <w:p>
      <w:pPr>
        <w:spacing w:before="140" w:after="80"/>
        <w:jc w:val="right"/>
        <w:keepNext/>
        <w:bidi w:val="1"/>
      </w:pPr>
      <w:r>
        <w:rPr>
          <w:rFonts w:ascii="Noto Sans Arabic" w:hAnsi="Noto Sans Arabic" w:cs="Noto Sans Arabic" w:eastAsia="Noto Sans Arabic"/>
          <w:b/>
          <w:i w:val="0"/>
          <w:color w:val="2F6F73"/>
          <w:sz w:val="26"/>
          <w:rtl w:val="1"/>
        </w:rPr>
        <w:t>المادة (9): منطقة التكوين المعرفي — Taaqol</w:t>
      </w:r>
    </w:p>
    <w:p>
      <w:pPr>
        <w:spacing w:after="100" w:line="283" w:lineRule="auto"/>
        <w:jc w:val="right"/>
        <w:keepNext w:val="0"/>
        <w:bidi w:val="1"/>
      </w:pPr>
      <w:r>
        <w:rPr>
          <w:rFonts w:ascii="Amiri" w:hAnsi="Amiri" w:cs="Amiri" w:eastAsia="Amiri"/>
          <w:b w:val="0"/>
          <w:i w:val="0"/>
          <w:color w:val="1F2933"/>
          <w:sz w:val="24"/>
          <w:rtl w:val="1"/>
        </w:rPr>
        <w:t>تملك Taaqol تكوين التصور والمفهوم والمنطوق والعلاقات والإفادة المرشحة من مدخل ذي أصل محفوظ، ولا تملك أن تحول ذلك بذاته إلى حكم نهائي أو فعل أو يقين.</w:t>
      </w:r>
    </w:p>
    <w:p>
      <w:pPr>
        <w:spacing w:after="100" w:line="283" w:lineRule="auto"/>
        <w:jc w:val="right"/>
        <w:keepNext w:val="0"/>
        <w:bidi w:val="1"/>
      </w:pPr>
      <w:r>
        <w:rPr>
          <w:rFonts w:ascii="Amiri" w:hAnsi="Amiri" w:cs="Amiri" w:eastAsia="Amiri"/>
          <w:b w:val="0"/>
          <w:i w:val="0"/>
          <w:color w:val="1F2933"/>
          <w:sz w:val="24"/>
          <w:rtl w:val="1"/>
        </w:rPr>
        <w:t>ومخرجها الأعلى في هذا المسار هو مرشح منضبط قابل للدخول إلى Hokom، لا نتيجة واجبة القبول.</w:t>
      </w:r>
    </w:p>
    <w:p>
      <w:pPr>
        <w:spacing w:before="140" w:after="80"/>
        <w:jc w:val="right"/>
        <w:keepNext/>
        <w:bidi w:val="1"/>
      </w:pPr>
      <w:r>
        <w:rPr>
          <w:rFonts w:ascii="Noto Sans Arabic" w:hAnsi="Noto Sans Arabic" w:cs="Noto Sans Arabic" w:eastAsia="Noto Sans Arabic"/>
          <w:b/>
          <w:i w:val="0"/>
          <w:color w:val="2F6F73"/>
          <w:sz w:val="26"/>
          <w:rtl w:val="1"/>
        </w:rPr>
        <w:t>المادة (10): منطقة التحقيق الحكمي — Hokom</w:t>
      </w:r>
    </w:p>
    <w:p>
      <w:pPr>
        <w:spacing w:after="100" w:line="283" w:lineRule="auto"/>
        <w:jc w:val="right"/>
        <w:keepNext w:val="0"/>
        <w:bidi w:val="1"/>
      </w:pPr>
      <w:r>
        <w:rPr>
          <w:rFonts w:ascii="Amiri" w:hAnsi="Amiri" w:cs="Amiri" w:eastAsia="Amiri"/>
          <w:b w:val="0"/>
          <w:i w:val="0"/>
          <w:color w:val="1F2933"/>
          <w:sz w:val="24"/>
          <w:rtl w:val="1"/>
        </w:rPr>
        <w:t>تملك Hokom فحص الوضع والسبب والشرط والمانع والعلة والقادح، وتحديد الصحة والفساد والبطلان، وإسناد الأثر المتوقع والبقايا. وهي مالك الترخيص الحكمي الداخلي في المشروع.</w:t>
      </w:r>
    </w:p>
    <w:p>
      <w:pPr>
        <w:spacing w:before="140" w:after="80"/>
        <w:jc w:val="right"/>
        <w:keepNext/>
        <w:bidi w:val="1"/>
      </w:pPr>
      <w:r>
        <w:rPr>
          <w:rFonts w:ascii="Noto Sans Arabic" w:hAnsi="Noto Sans Arabic" w:cs="Noto Sans Arabic" w:eastAsia="Noto Sans Arabic"/>
          <w:b/>
          <w:i w:val="0"/>
          <w:color w:val="2F6F73"/>
          <w:sz w:val="26"/>
          <w:rtl w:val="1"/>
        </w:rPr>
        <w:t>المادة (11): منطقة الحالة التشغيلية — Verifier</w:t>
      </w:r>
    </w:p>
    <w:p>
      <w:pPr>
        <w:spacing w:after="100" w:line="283" w:lineRule="auto"/>
        <w:jc w:val="right"/>
        <w:keepNext w:val="0"/>
        <w:bidi w:val="1"/>
      </w:pPr>
      <w:r>
        <w:rPr>
          <w:rFonts w:ascii="Amiri" w:hAnsi="Amiri" w:cs="Amiri" w:eastAsia="Amiri"/>
          <w:b w:val="0"/>
          <w:i w:val="0"/>
          <w:color w:val="1F2933"/>
          <w:sz w:val="24"/>
          <w:rtl w:val="1"/>
        </w:rPr>
        <w:t>يصدر Verifier الحالة الخارجية التي يمكن للنظام والواجهات الاعتماد عليها: Licensed أو Blocked أو Deferred أو Residual. ولا تُساوى هذه الحالات بالحكم الداخلي صحيح أو فاسد أو باطل؛ فلكل منهما محور مستقل.</w:t>
      </w:r>
    </w:p>
    <w:p>
      <w:pPr>
        <w:spacing w:before="140" w:after="80"/>
        <w:jc w:val="right"/>
        <w:keepNext/>
        <w:bidi w:val="1"/>
      </w:pPr>
      <w:r>
        <w:rPr>
          <w:rFonts w:ascii="Noto Sans Arabic" w:hAnsi="Noto Sans Arabic" w:cs="Noto Sans Arabic" w:eastAsia="Noto Sans Arabic"/>
          <w:b/>
          <w:i w:val="0"/>
          <w:color w:val="2F6F73"/>
          <w:sz w:val="26"/>
          <w:rtl w:val="1"/>
        </w:rPr>
        <w:t>المادة (12): منطقة التطبيق والمطابقة — Correspondence</w:t>
      </w:r>
    </w:p>
    <w:p>
      <w:pPr>
        <w:spacing w:after="100" w:line="283" w:lineRule="auto"/>
        <w:jc w:val="right"/>
        <w:keepNext w:val="0"/>
        <w:bidi w:val="1"/>
      </w:pPr>
      <w:r>
        <w:rPr>
          <w:rFonts w:ascii="Amiri" w:hAnsi="Amiri" w:cs="Amiri" w:eastAsia="Amiri"/>
          <w:b w:val="0"/>
          <w:i w:val="0"/>
          <w:color w:val="1F2933"/>
          <w:sz w:val="24"/>
          <w:rtl w:val="1"/>
        </w:rPr>
        <w:t>تختبر هذه المنطقة انطباق الحكم المرخص على واقعة محددة، وصلاحية السلطة، والفعل المنفذ، والأثر المتحقق، ومدى المطابقة مع واقع معلن ومعيار مقارنة معلوم. وهي لا تعيد كتابة الحكم، بل تكشف موضع الخلل إن وقع.</w:t>
      </w:r>
    </w:p>
    <w:p>
      <w:pPr>
        <w:spacing w:before="140" w:after="80"/>
        <w:jc w:val="right"/>
        <w:keepNext/>
        <w:bidi w:val="1"/>
      </w:pPr>
      <w:r>
        <w:rPr>
          <w:rFonts w:ascii="Noto Sans Arabic" w:hAnsi="Noto Sans Arabic" w:cs="Noto Sans Arabic" w:eastAsia="Noto Sans Arabic"/>
          <w:b/>
          <w:i w:val="0"/>
          <w:color w:val="2F6F73"/>
          <w:sz w:val="26"/>
          <w:rtl w:val="1"/>
        </w:rPr>
        <w:t>المادة (13): حدود HR2S والمحركات الخارجية</w:t>
      </w:r>
    </w:p>
    <w:p>
      <w:pPr>
        <w:spacing w:after="100" w:line="283" w:lineRule="auto"/>
        <w:jc w:val="right"/>
        <w:keepNext w:val="0"/>
        <w:bidi w:val="1"/>
      </w:pPr>
      <w:r>
        <w:rPr>
          <w:rFonts w:ascii="Amiri" w:hAnsi="Amiri" w:cs="Amiri" w:eastAsia="Amiri"/>
          <w:b w:val="0"/>
          <w:i w:val="0"/>
          <w:color w:val="1F2933"/>
          <w:sz w:val="24"/>
          <w:rtl w:val="1"/>
        </w:rPr>
        <w:t>يجوز استخدام HR2S أو غيره كمصدر مرشح أو محرك مساعد أو مزود دليل، لكن لا يملك إنشاء Licensed ولا تجاوز Hokom ولا نقل ملكية الجذر والوزن والمصدر والمشتقات خارج Hokom.</w:t>
      </w:r>
    </w:p>
    <w:p>
      <w:pPr>
        <w:spacing w:after="100" w:line="283" w:lineRule="auto"/>
        <w:jc w:val="right"/>
        <w:keepNext w:val="0"/>
        <w:bidi w:val="1"/>
      </w:pPr>
      <w:r>
        <w:rPr>
          <w:rFonts w:ascii="Amiri" w:hAnsi="Amiri" w:cs="Amiri" w:eastAsia="Amiri"/>
          <w:b w:val="0"/>
          <w:i w:val="0"/>
          <w:color w:val="1F2933"/>
          <w:sz w:val="24"/>
          <w:rtl w:val="1"/>
        </w:rPr>
        <w:t>كل مخرج خارجي يدخل المشروع بوصفه Claim أو Evidence أو Candidate ومعه هوية مصدره ورتبته ومجاله، ويخضع للتحقيق من جديد.</w:t>
      </w:r>
    </w:p>
    <w:p>
      <w:pPr>
        <w:spacing w:before="140" w:after="80"/>
        <w:jc w:val="right"/>
        <w:keepNext/>
        <w:bidi w:val="1"/>
      </w:pPr>
      <w:r>
        <w:rPr>
          <w:rFonts w:ascii="Noto Sans Arabic" w:hAnsi="Noto Sans Arabic" w:cs="Noto Sans Arabic" w:eastAsia="Noto Sans Arabic"/>
          <w:b/>
          <w:i w:val="0"/>
          <w:color w:val="2F6F73"/>
          <w:sz w:val="26"/>
          <w:rtl w:val="1"/>
        </w:rPr>
        <w:t>المادة (14): منع النقل الصامت للملكية</w:t>
      </w:r>
    </w:p>
    <w:p>
      <w:pPr>
        <w:spacing w:after="100" w:line="283" w:lineRule="auto"/>
        <w:jc w:val="right"/>
        <w:keepNext w:val="0"/>
        <w:bidi w:val="1"/>
      </w:pPr>
      <w:r>
        <w:rPr>
          <w:rFonts w:ascii="Amiri" w:hAnsi="Amiri" w:cs="Amiri" w:eastAsia="Amiri"/>
          <w:b w:val="0"/>
          <w:i w:val="0"/>
          <w:color w:val="1F2933"/>
          <w:sz w:val="24"/>
          <w:rtl w:val="1"/>
        </w:rPr>
        <w:t>لا تنتقل وظيفة من منطقة إلى أخرى بسبب استدعاء برمجي أو تشابه أسماء. انتقال الملكية يحتاج نصًا دستوريًا، وتحديث سجل، وهجرة، واختبارات، وتقريرًا يثبت إزالة الازدواج.</w:t>
      </w:r>
    </w:p>
    <w:p>
      <w:pPr>
        <w:spacing w:before="140" w:after="80"/>
        <w:jc w:val="right"/>
        <w:keepNext/>
        <w:bidi w:val="1"/>
      </w:pPr>
      <w:r>
        <w:rPr>
          <w:rFonts w:ascii="Noto Sans Arabic" w:hAnsi="Noto Sans Arabic" w:cs="Noto Sans Arabic" w:eastAsia="Noto Sans Arabic"/>
          <w:b/>
          <w:i w:val="0"/>
          <w:color w:val="2F6F73"/>
          <w:sz w:val="26"/>
          <w:rtl w:val="1"/>
        </w:rPr>
        <w:t>المادة (15): عقد العبور بين المناطق</w:t>
      </w:r>
    </w:p>
    <w:p>
      <w:pPr>
        <w:spacing w:after="100" w:line="283" w:lineRule="auto"/>
        <w:jc w:val="right"/>
        <w:keepNext w:val="0"/>
        <w:bidi w:val="1"/>
      </w:pPr>
      <w:r>
        <w:rPr>
          <w:rFonts w:ascii="Amiri" w:hAnsi="Amiri" w:cs="Amiri" w:eastAsia="Amiri"/>
          <w:b w:val="0"/>
          <w:i w:val="0"/>
          <w:color w:val="1F2933"/>
          <w:sz w:val="24"/>
          <w:rtl w:val="1"/>
        </w:rPr>
        <w:t>كل عبور بين منطقتين يجب أن يحدد نوع المدخل، وهوية المصدر، والمجال، والرتبة، والأدلة، والافتراضات، والموانع المعروفة، والبقايا، والمخرج المسموح به. وكل حقل غير متوافر يصرح بكونه Unknown أو Deferred ولا يُزرع بقيمة تخمينية.</w:t>
      </w:r>
    </w:p>
    <w:p>
      <w:pPr>
        <w:spacing w:before="140" w:after="80"/>
        <w:jc w:val="right"/>
        <w:keepNext/>
        <w:bidi w:val="1"/>
      </w:pPr>
      <w:r>
        <w:rPr>
          <w:rFonts w:ascii="Noto Sans Arabic" w:hAnsi="Noto Sans Arabic" w:cs="Noto Sans Arabic" w:eastAsia="Noto Sans Arabic"/>
          <w:b/>
          <w:i w:val="0"/>
          <w:color w:val="2F6F73"/>
          <w:sz w:val="26"/>
          <w:rtl w:val="1"/>
        </w:rPr>
        <w:t>المادة (16): حظر الاستدلال الدائري</w:t>
      </w:r>
    </w:p>
    <w:p>
      <w:pPr>
        <w:spacing w:after="100" w:line="283" w:lineRule="auto"/>
        <w:jc w:val="right"/>
        <w:keepNext w:val="0"/>
        <w:bidi w:val="1"/>
      </w:pPr>
      <w:r>
        <w:rPr>
          <w:rFonts w:ascii="Amiri" w:hAnsi="Amiri" w:cs="Amiri" w:eastAsia="Amiri"/>
          <w:b w:val="0"/>
          <w:i w:val="0"/>
          <w:color w:val="1F2933"/>
          <w:sz w:val="24"/>
          <w:rtl w:val="1"/>
        </w:rPr>
        <w:t>لا يجوز أن يستعمل الحكم الناتج دليلًا على مقدمته، ولا أن تستعمل المطابقة اللاحقة لتبرير انتقال سابق من غير تسجيل ذلك بوصفه مراجعة مستقلة. ويجب تمييز الدليل الأصلي عن الدليل الراجع.</w:t>
      </w:r>
    </w:p>
    <w:p>
      <w:pPr>
        <w:spacing w:before="140" w:after="80"/>
        <w:jc w:val="right"/>
        <w:keepNext/>
        <w:bidi w:val="1"/>
      </w:pPr>
      <w:r>
        <w:rPr>
          <w:rFonts w:ascii="Noto Sans Arabic" w:hAnsi="Noto Sans Arabic" w:cs="Noto Sans Arabic" w:eastAsia="Noto Sans Arabic"/>
          <w:b/>
          <w:i w:val="0"/>
          <w:color w:val="2F6F73"/>
          <w:sz w:val="26"/>
          <w:rtl w:val="1"/>
        </w:rPr>
        <w:t>المادة (17): حظر الانكماش المعرفي</w:t>
      </w:r>
    </w:p>
    <w:p>
      <w:pPr>
        <w:spacing w:after="100" w:line="283" w:lineRule="auto"/>
        <w:jc w:val="right"/>
        <w:keepNext w:val="0"/>
        <w:bidi w:val="1"/>
      </w:pPr>
      <w:r>
        <w:rPr>
          <w:rFonts w:ascii="Amiri" w:hAnsi="Amiri" w:cs="Amiri" w:eastAsia="Amiri"/>
          <w:b w:val="0"/>
          <w:i w:val="0"/>
          <w:color w:val="1F2933"/>
          <w:sz w:val="24"/>
          <w:rtl w:val="1"/>
        </w:rPr>
        <w:t>لا يجوز أن تختزل منطقة لاحقة سجل المنطقة السابقة إلى نص مجرد فتسقط المجال أو الرتبة أو البقايا أو المانع أو تاريخ التحويل. ويجب أن يبقى الحد الأدنى الدستوري من الأثر مصاحبًا للادعاء عبر كامل المسار.</w:t>
      </w:r>
    </w:p>
    <w:p>
      <w:pPr>
        <w:pStyle w:val="Heading1"/>
        <w:pageBreakBefore/>
        <w:jc w:val="right"/>
        <w:bidi w:val="1"/>
      </w:pPr>
      <w:r>
        <w:rPr>
          <w:rFonts w:ascii="Noto Sans Arabic" w:hAnsi="Noto Sans Arabic" w:cs="Noto Sans Arabic" w:eastAsia="Noto Sans Arabic"/>
          <w:b/>
          <w:i w:val="0"/>
          <w:color w:val="16324F"/>
          <w:sz w:val="36"/>
          <w:rtl w:val="1"/>
        </w:rPr>
        <w:t>الباب الثالث — منشأ الادعاء والتكوين المعرفي السابق للحكم</w:t>
      </w:r>
    </w:p>
    <w:p>
      <w:pPr>
        <w:spacing w:after="100" w:line="283" w:lineRule="auto"/>
        <w:jc w:val="right"/>
        <w:keepNext w:val="0"/>
        <w:bidi w:val="1"/>
      </w:pPr>
      <w:r>
        <w:rPr>
          <w:rFonts w:ascii="Amiri" w:hAnsi="Amiri" w:cs="Amiri" w:eastAsia="Amiri"/>
          <w:b w:val="0"/>
          <w:i w:val="0"/>
          <w:color w:val="1F2933"/>
          <w:sz w:val="24"/>
          <w:rtl w:val="1"/>
        </w:rPr>
        <w:t>السلسلة المعرفية العليا في هذا الباب ليست سجل تنفيذ موازياً لـSCG، بل توصيف لمناطق منشأ الادعاء التي قد تتحقق عبر طبقة واحدة أو أكثر من طبقات SCG:</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Reality → Effect → Carrier → PriorInformation → Conception → Concept → Utterance → Relation → IfadahCandidate</w:t>
            </w:r>
          </w:p>
        </w:tc>
      </w:tr>
    </w:tbl>
    <w:p>
      <w:pPr>
        <w:spacing w:after="20"/>
      </w:pPr>
    </w:p>
    <w:p>
      <w:pPr>
        <w:spacing w:before="140" w:after="80"/>
        <w:jc w:val="right"/>
        <w:keepNext/>
        <w:bidi w:val="1"/>
      </w:pPr>
      <w:r>
        <w:rPr>
          <w:rFonts w:ascii="Noto Sans Arabic" w:hAnsi="Noto Sans Arabic" w:cs="Noto Sans Arabic" w:eastAsia="Noto Sans Arabic"/>
          <w:b/>
          <w:i w:val="0"/>
          <w:color w:val="2F6F73"/>
          <w:sz w:val="26"/>
          <w:rtl w:val="1"/>
        </w:rPr>
        <w:t>المادة (18): الواقع المعيَّن</w:t>
      </w:r>
    </w:p>
    <w:p>
      <w:pPr>
        <w:spacing w:after="100" w:line="283" w:lineRule="auto"/>
        <w:jc w:val="right"/>
        <w:keepNext w:val="0"/>
        <w:bidi w:val="1"/>
      </w:pPr>
      <w:r>
        <w:rPr>
          <w:rFonts w:ascii="Amiri" w:hAnsi="Amiri" w:cs="Amiri" w:eastAsia="Amiri"/>
          <w:b w:val="0"/>
          <w:i w:val="0"/>
          <w:color w:val="1F2933"/>
          <w:sz w:val="24"/>
          <w:rtl w:val="1"/>
        </w:rPr>
        <w:t>الواقع هو المرجع الذي يُراد وصفه أو تفسيره أو الحكم عليه. ولا يشترط أن يكون ماديًا؛ فقد يكون لغويًا أو صرفيًا أو رياضيًا أو قانونيًا أو نصيًا أو افتراضيًا، بشرط إعلان نوعه ومعيار الوصول إليه.</w:t>
      </w:r>
    </w:p>
    <w:p>
      <w:pPr>
        <w:spacing w:after="100" w:line="283" w:lineRule="auto"/>
        <w:jc w:val="right"/>
        <w:keepNext w:val="0"/>
        <w:bidi w:val="1"/>
      </w:pPr>
      <w:r>
        <w:rPr>
          <w:rFonts w:ascii="Amiri" w:hAnsi="Amiri" w:cs="Amiri" w:eastAsia="Amiri"/>
          <w:b w:val="0"/>
          <w:i w:val="0"/>
          <w:color w:val="1F2933"/>
          <w:sz w:val="24"/>
          <w:rtl w:val="1"/>
        </w:rPr>
        <w:t>لا يجوز إنشاء مطابقة أو حكم على واقع غير معيّن أو متعدد الأنواع بلا فصل.</w:t>
      </w:r>
    </w:p>
    <w:p>
      <w:pPr>
        <w:spacing w:before="140" w:after="80"/>
        <w:jc w:val="right"/>
        <w:keepNext/>
        <w:bidi w:val="1"/>
      </w:pPr>
      <w:r>
        <w:rPr>
          <w:rFonts w:ascii="Noto Sans Arabic" w:hAnsi="Noto Sans Arabic" w:cs="Noto Sans Arabic" w:eastAsia="Noto Sans Arabic"/>
          <w:b/>
          <w:i w:val="0"/>
          <w:color w:val="2F6F73"/>
          <w:sz w:val="26"/>
          <w:rtl w:val="1"/>
        </w:rPr>
        <w:t>المادة (19): الأثر الأولي</w:t>
      </w:r>
    </w:p>
    <w:p>
      <w:pPr>
        <w:spacing w:after="100" w:line="283" w:lineRule="auto"/>
        <w:jc w:val="right"/>
        <w:keepNext w:val="0"/>
        <w:bidi w:val="1"/>
      </w:pPr>
      <w:r>
        <w:rPr>
          <w:rFonts w:ascii="Amiri" w:hAnsi="Amiri" w:cs="Amiri" w:eastAsia="Amiri"/>
          <w:b w:val="0"/>
          <w:i w:val="0"/>
          <w:color w:val="1F2933"/>
          <w:sz w:val="24"/>
          <w:rtl w:val="1"/>
        </w:rPr>
        <w:t>الأثر الأولي هو العلامة أو القياس أو السطح أو النص أو السجل الذي يصل من الواقع إلى النظام. وهو ليس الواقع نفسه، ولا يجوز معاملته كصورة كاملة عنه.</w:t>
      </w:r>
    </w:p>
    <w:p>
      <w:pPr>
        <w:spacing w:after="100" w:line="283" w:lineRule="auto"/>
        <w:jc w:val="right"/>
        <w:keepNext w:val="0"/>
        <w:bidi w:val="1"/>
      </w:pPr>
      <w:r>
        <w:rPr>
          <w:rFonts w:ascii="Amiri" w:hAnsi="Amiri" w:cs="Amiri" w:eastAsia="Amiri"/>
          <w:b w:val="0"/>
          <w:i w:val="0"/>
          <w:color w:val="1F2933"/>
          <w:sz w:val="24"/>
          <w:rtl w:val="1"/>
        </w:rPr>
        <w:t>يجب حفظ الأثر الخام قبل التطبيع، متى كان ذلك ممكنًا ومشروعًا، حتى يمكن مراجعة التحويلات اللاحقة.</w:t>
      </w:r>
    </w:p>
    <w:p>
      <w:pPr>
        <w:spacing w:before="140" w:after="80"/>
        <w:jc w:val="right"/>
        <w:keepNext/>
        <w:bidi w:val="1"/>
      </w:pPr>
      <w:r>
        <w:rPr>
          <w:rFonts w:ascii="Noto Sans Arabic" w:hAnsi="Noto Sans Arabic" w:cs="Noto Sans Arabic" w:eastAsia="Noto Sans Arabic"/>
          <w:b/>
          <w:i w:val="0"/>
          <w:color w:val="2F6F73"/>
          <w:sz w:val="26"/>
          <w:rtl w:val="1"/>
        </w:rPr>
        <w:t>المادة (20): الحامل وسلامة النقل</w:t>
      </w:r>
    </w:p>
    <w:p>
      <w:pPr>
        <w:spacing w:after="100" w:line="283" w:lineRule="auto"/>
        <w:jc w:val="right"/>
        <w:keepNext w:val="0"/>
        <w:bidi w:val="1"/>
      </w:pPr>
      <w:r>
        <w:rPr>
          <w:rFonts w:ascii="Amiri" w:hAnsi="Amiri" w:cs="Amiri" w:eastAsia="Amiri"/>
          <w:b w:val="0"/>
          <w:i w:val="0"/>
          <w:color w:val="1F2933"/>
          <w:sz w:val="24"/>
          <w:rtl w:val="1"/>
        </w:rPr>
        <w:t>الحامل هو الوسيط الذي نقل الأثر: ملف، نص، واجهة، مستشعر، مستخدم، قاعدة بيانات، محرك خارجي، أو قناة أخرى. وتُفحص أهليته، وتاريخه، واحتمالات التشويه أو القطع أو التطبيع.</w:t>
      </w:r>
    </w:p>
    <w:p>
      <w:pPr>
        <w:spacing w:after="100" w:line="283" w:lineRule="auto"/>
        <w:jc w:val="right"/>
        <w:keepNext w:val="0"/>
        <w:bidi w:val="1"/>
      </w:pPr>
      <w:r>
        <w:rPr>
          <w:rFonts w:ascii="Amiri" w:hAnsi="Amiri" w:cs="Amiri" w:eastAsia="Amiri"/>
          <w:b w:val="0"/>
          <w:i w:val="0"/>
          <w:color w:val="1F2933"/>
          <w:sz w:val="24"/>
          <w:rtl w:val="1"/>
        </w:rPr>
        <w:t>لا يُورَّث من الحامل ما ليس في رتبته أو مجاله.</w:t>
      </w:r>
    </w:p>
    <w:p>
      <w:pPr>
        <w:spacing w:before="140" w:after="80"/>
        <w:jc w:val="right"/>
        <w:keepNext/>
        <w:bidi w:val="1"/>
      </w:pPr>
      <w:r>
        <w:rPr>
          <w:rFonts w:ascii="Noto Sans Arabic" w:hAnsi="Noto Sans Arabic" w:cs="Noto Sans Arabic" w:eastAsia="Noto Sans Arabic"/>
          <w:b/>
          <w:i w:val="0"/>
          <w:color w:val="2F6F73"/>
          <w:sz w:val="26"/>
          <w:rtl w:val="1"/>
        </w:rPr>
        <w:t>المادة (21): المعلومات السابقة</w:t>
      </w:r>
    </w:p>
    <w:p>
      <w:pPr>
        <w:spacing w:after="100" w:line="283" w:lineRule="auto"/>
        <w:jc w:val="right"/>
        <w:keepNext w:val="0"/>
        <w:bidi w:val="1"/>
      </w:pPr>
      <w:r>
        <w:rPr>
          <w:rFonts w:ascii="Amiri" w:hAnsi="Amiri" w:cs="Amiri" w:eastAsia="Amiri"/>
          <w:b w:val="0"/>
          <w:i w:val="0"/>
          <w:color w:val="1F2933"/>
          <w:sz w:val="24"/>
          <w:rtl w:val="1"/>
        </w:rPr>
        <w:t>تشمل القواعد والكتالوجات والذاكرة والسياق والنماذج السابقة التي تسهم في تكوين التصور. ويجب تمييز المعلومة الموثقة من الافتراض، والمعلومة العامة من الخاصة، والمعلومة الداخلية من الخارجية.</w:t>
      </w:r>
    </w:p>
    <w:p>
      <w:pPr>
        <w:spacing w:before="140" w:after="80"/>
        <w:jc w:val="right"/>
        <w:keepNext/>
        <w:bidi w:val="1"/>
      </w:pPr>
      <w:r>
        <w:rPr>
          <w:rFonts w:ascii="Noto Sans Arabic" w:hAnsi="Noto Sans Arabic" w:cs="Noto Sans Arabic" w:eastAsia="Noto Sans Arabic"/>
          <w:b/>
          <w:i w:val="0"/>
          <w:color w:val="2F6F73"/>
          <w:sz w:val="26"/>
          <w:rtl w:val="1"/>
        </w:rPr>
        <w:t>المادة (22): التصور</w:t>
      </w:r>
    </w:p>
    <w:p>
      <w:pPr>
        <w:spacing w:after="100" w:line="283" w:lineRule="auto"/>
        <w:jc w:val="right"/>
        <w:keepNext w:val="0"/>
        <w:bidi w:val="1"/>
      </w:pPr>
      <w:r>
        <w:rPr>
          <w:rFonts w:ascii="Amiri" w:hAnsi="Amiri" w:cs="Amiri" w:eastAsia="Amiri"/>
          <w:b w:val="0"/>
          <w:i w:val="0"/>
          <w:color w:val="1F2933"/>
          <w:sz w:val="24"/>
          <w:rtl w:val="1"/>
        </w:rPr>
        <w:t>التصور بنية أولية تعيّن الشيء وتميزه وتجرد بعض خصائصه قبل تثبيت مفهوم مرخص. وقد يكون ناقصًا أو متعدد المرشحين، ولا يُمنح حكمًا لمجرد وضوحه النفسي أو اللغوي.</w:t>
      </w:r>
    </w:p>
    <w:p>
      <w:pPr>
        <w:spacing w:before="140" w:after="80"/>
        <w:jc w:val="right"/>
        <w:keepNext/>
        <w:bidi w:val="1"/>
      </w:pPr>
      <w:r>
        <w:rPr>
          <w:rFonts w:ascii="Noto Sans Arabic" w:hAnsi="Noto Sans Arabic" w:cs="Noto Sans Arabic" w:eastAsia="Noto Sans Arabic"/>
          <w:b/>
          <w:i w:val="0"/>
          <w:color w:val="2F6F73"/>
          <w:sz w:val="26"/>
          <w:rtl w:val="1"/>
        </w:rPr>
        <w:t>المادة (23): العقد الدستوري للمفهوم</w:t>
      </w:r>
    </w:p>
    <w:p>
      <w:pPr>
        <w:spacing w:after="100" w:line="283" w:lineRule="auto"/>
        <w:jc w:val="right"/>
        <w:keepNext w:val="0"/>
        <w:bidi w:val="1"/>
      </w:pPr>
      <w:r>
        <w:rPr>
          <w:rFonts w:ascii="Amiri" w:hAnsi="Amiri" w:cs="Amiri" w:eastAsia="Amiri"/>
          <w:b w:val="0"/>
          <w:i w:val="0"/>
          <w:color w:val="1F2933"/>
          <w:sz w:val="24"/>
          <w:rtl w:val="1"/>
        </w:rPr>
        <w:t>لا يعد الشيء ConceptContract كاملًا إلا إذا حمل حدًا ومجالًا ومضمونًا ذاتيًا وامتدادًا وشروطًا ومقتضيات واستبعادات وأدلة وبقايا ورتبة. ويجوز أن تكون بعض الحقول غير محسومة، لكن يجب التصريح بذلك وعدم إخفائه.</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ConceptContract = {</w:t>
            </w:r>
            <w:r>
              <w:br/>
            </w:r>
            <w:r>
              <w:rPr>
                <w:rFonts w:ascii="DejaVu Sans Mono" w:hAnsi="DejaVu Sans Mono" w:cs="DejaVu Sans Mono" w:eastAsia="DejaVu Sans Mono"/>
                <w:b w:val="0"/>
                <w:i w:val="0"/>
                <w:color w:val="24313A"/>
                <w:sz w:val="18"/>
              </w:rPr>
              <w:t xml:space="preserve">  concept_id, identity, boundary, domain,</w:t>
            </w:r>
            <w:r>
              <w:br/>
            </w:r>
            <w:r>
              <w:rPr>
                <w:rFonts w:ascii="DejaVu Sans Mono" w:hAnsi="DejaVu Sans Mono" w:cs="DejaVu Sans Mono" w:eastAsia="DejaVu Sans Mono"/>
                <w:b w:val="0"/>
                <w:i w:val="0"/>
                <w:color w:val="24313A"/>
                <w:sz w:val="18"/>
              </w:rPr>
              <w:t xml:space="preserve">  intension, extension, conditions,</w:t>
            </w:r>
            <w:r>
              <w:br/>
            </w:r>
            <w:r>
              <w:rPr>
                <w:rFonts w:ascii="DejaVu Sans Mono" w:hAnsi="DejaVu Sans Mono" w:cs="DejaVu Sans Mono" w:eastAsia="DejaVu Sans Mono"/>
                <w:b w:val="0"/>
                <w:i w:val="0"/>
                <w:color w:val="24313A"/>
                <w:sz w:val="18"/>
              </w:rPr>
              <w:t xml:space="preserve">  implications, exclusions, evidence,</w:t>
            </w:r>
            <w:r>
              <w:br/>
            </w:r>
            <w:r>
              <w:rPr>
                <w:rFonts w:ascii="DejaVu Sans Mono" w:hAnsi="DejaVu Sans Mono" w:cs="DejaVu Sans Mono" w:eastAsia="DejaVu Sans Mono"/>
                <w:b w:val="0"/>
                <w:i w:val="0"/>
                <w:color w:val="24313A"/>
                <w:sz w:val="18"/>
              </w:rPr>
              <w:t xml:space="preserve">  evidence_rank, residuals, review_trace</w:t>
            </w:r>
            <w:r>
              <w:br/>
            </w:r>
            <w:r>
              <w:rPr>
                <w:rFonts w:ascii="DejaVu Sans Mono" w:hAnsi="DejaVu Sans Mono" w:cs="DejaVu Sans Mono" w:eastAsia="DejaVu Sans Mono"/>
                <w:b w:val="0"/>
                <w:i w:val="0"/>
                <w:color w:val="24313A"/>
                <w:sz w:val="18"/>
              </w:rPr>
              <w:t>}</w:t>
            </w:r>
          </w:p>
        </w:tc>
      </w:tr>
    </w:tbl>
    <w:p>
      <w:pPr>
        <w:spacing w:after="20"/>
      </w:pPr>
    </w:p>
    <w:p>
      <w:pPr>
        <w:spacing w:before="140" w:after="80"/>
        <w:jc w:val="right"/>
        <w:keepNext/>
        <w:bidi w:val="1"/>
      </w:pPr>
      <w:r>
        <w:rPr>
          <w:rFonts w:ascii="Noto Sans Arabic" w:hAnsi="Noto Sans Arabic" w:cs="Noto Sans Arabic" w:eastAsia="Noto Sans Arabic"/>
          <w:b/>
          <w:i w:val="0"/>
          <w:color w:val="2F6F73"/>
          <w:sz w:val="26"/>
          <w:rtl w:val="1"/>
        </w:rPr>
        <w:t>المادة (24): قانون الحد والمجال</w:t>
      </w:r>
    </w:p>
    <w:p>
      <w:pPr>
        <w:spacing w:after="100" w:line="283" w:lineRule="auto"/>
        <w:jc w:val="right"/>
        <w:keepNext w:val="0"/>
        <w:bidi w:val="1"/>
      </w:pPr>
      <w:r>
        <w:rPr>
          <w:rFonts w:ascii="Amiri" w:hAnsi="Amiri" w:cs="Amiri" w:eastAsia="Amiri"/>
          <w:b w:val="0"/>
          <w:i w:val="0"/>
          <w:color w:val="1F2933"/>
          <w:sz w:val="24"/>
          <w:rtl w:val="1"/>
        </w:rPr>
        <w:t>لا مفهوم بلا حد يميزه، ولا حد بلا مجال يبين مواضع انطباقه. وإذا اتسع المجال أو ضاق بسبب دليل جديد، سجل ذلك كتعديل مستقل مع حفظ النسخة السابقة وأثر الانتقال.</w:t>
      </w:r>
    </w:p>
    <w:p>
      <w:pPr>
        <w:spacing w:before="140" w:after="80"/>
        <w:jc w:val="right"/>
        <w:keepNext/>
        <w:bidi w:val="1"/>
      </w:pPr>
      <w:r>
        <w:rPr>
          <w:rFonts w:ascii="Noto Sans Arabic" w:hAnsi="Noto Sans Arabic" w:cs="Noto Sans Arabic" w:eastAsia="Noto Sans Arabic"/>
          <w:b/>
          <w:i w:val="0"/>
          <w:color w:val="2F6F73"/>
          <w:sz w:val="26"/>
          <w:rtl w:val="1"/>
        </w:rPr>
        <w:t>المادة (25): المنطوق أو الصياغة</w:t>
      </w:r>
    </w:p>
    <w:p>
      <w:pPr>
        <w:spacing w:after="100" w:line="283" w:lineRule="auto"/>
        <w:jc w:val="right"/>
        <w:keepNext w:val="0"/>
        <w:bidi w:val="1"/>
      </w:pPr>
      <w:r>
        <w:rPr>
          <w:rFonts w:ascii="Amiri" w:hAnsi="Amiri" w:cs="Amiri" w:eastAsia="Amiri"/>
          <w:b w:val="0"/>
          <w:i w:val="0"/>
          <w:color w:val="1F2933"/>
          <w:sz w:val="24"/>
          <w:rtl w:val="1"/>
        </w:rPr>
        <w:t>المنطوق تمثيل لغوي أو رمزي للمفهوم، وليس المفهوم نفسه. وقد يكون المنطوق ملتبسًا أو ناقصًا أو متعدد الدلالة، فلا تُورث له حدود المفهوم إلا بدليل علاقة معتبر.</w:t>
      </w:r>
    </w:p>
    <w:p>
      <w:pPr>
        <w:spacing w:before="140" w:after="80"/>
        <w:jc w:val="right"/>
        <w:keepNext/>
        <w:bidi w:val="1"/>
      </w:pPr>
      <w:r>
        <w:rPr>
          <w:rFonts w:ascii="Noto Sans Arabic" w:hAnsi="Noto Sans Arabic" w:cs="Noto Sans Arabic" w:eastAsia="Noto Sans Arabic"/>
          <w:b/>
          <w:i w:val="0"/>
          <w:color w:val="2F6F73"/>
          <w:sz w:val="26"/>
          <w:rtl w:val="1"/>
        </w:rPr>
        <w:t>المادة (26): العلاقة</w:t>
      </w:r>
    </w:p>
    <w:p>
      <w:pPr>
        <w:spacing w:after="100" w:line="283" w:lineRule="auto"/>
        <w:jc w:val="right"/>
        <w:keepNext w:val="0"/>
        <w:bidi w:val="1"/>
      </w:pPr>
      <w:r>
        <w:rPr>
          <w:rFonts w:ascii="Amiri" w:hAnsi="Amiri" w:cs="Amiri" w:eastAsia="Amiri"/>
          <w:b w:val="0"/>
          <w:i w:val="0"/>
          <w:color w:val="1F2933"/>
          <w:sz w:val="24"/>
          <w:rtl w:val="1"/>
        </w:rPr>
        <w:t>العلاقة ربط مرخص بين طرفين أو أكثر، مع نوع معلوم، ومجال، واتجاه، وشروط، ورتبة، ودليل. ولا يكفي اقتران العناصر في السطح لإثبات العلاقة السببية أو التركيبية أو الدلالية.</w:t>
      </w:r>
    </w:p>
    <w:p>
      <w:pPr>
        <w:spacing w:before="140" w:after="80"/>
        <w:jc w:val="right"/>
        <w:keepNext/>
        <w:bidi w:val="1"/>
      </w:pPr>
      <w:r>
        <w:rPr>
          <w:rFonts w:ascii="Noto Sans Arabic" w:hAnsi="Noto Sans Arabic" w:cs="Noto Sans Arabic" w:eastAsia="Noto Sans Arabic"/>
          <w:b/>
          <w:i w:val="0"/>
          <w:color w:val="2F6F73"/>
          <w:sz w:val="26"/>
          <w:rtl w:val="1"/>
        </w:rPr>
        <w:t>المادة (27): الإفادة المرشحة</w:t>
      </w:r>
    </w:p>
    <w:p>
      <w:pPr>
        <w:spacing w:after="100" w:line="283" w:lineRule="auto"/>
        <w:jc w:val="right"/>
        <w:keepNext w:val="0"/>
        <w:bidi w:val="1"/>
      </w:pPr>
      <w:r>
        <w:rPr>
          <w:rFonts w:ascii="Amiri" w:hAnsi="Amiri" w:cs="Amiri" w:eastAsia="Amiri"/>
          <w:b w:val="0"/>
          <w:i w:val="0"/>
          <w:color w:val="1F2933"/>
          <w:sz w:val="24"/>
          <w:rtl w:val="1"/>
        </w:rPr>
        <w:t>IfadahCandidate هي القضية أو الفائدة التي تسمح العلاقات المرخصة باستخراجها من منطوق معلوم. وهي مرشح مضبوط لا حكم نهائي ولا قاعدة ولا فعل ولا معنى كلي.</w:t>
      </w:r>
    </w:p>
    <w:p>
      <w:pPr>
        <w:spacing w:after="100" w:line="283" w:lineRule="auto"/>
        <w:jc w:val="right"/>
        <w:keepNext w:val="0"/>
        <w:bidi w:val="1"/>
      </w:pPr>
      <w:r>
        <w:rPr>
          <w:rFonts w:ascii="Amiri" w:hAnsi="Amiri" w:cs="Amiri" w:eastAsia="Amiri"/>
          <w:b w:val="0"/>
          <w:i w:val="0"/>
          <w:color w:val="1F2933"/>
          <w:sz w:val="24"/>
          <w:rtl w:val="1"/>
        </w:rPr>
        <w:t>يجب أن تحمل مصدرها، والعلاقات التي أجازتها، ومجالها، ورتبتها، وافتراضاتها، وموانعها، وبقاياها، والاستدلالات المحظورة عليها.</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IfadahCandidate = {</w:t>
            </w:r>
            <w:r>
              <w:br/>
            </w:r>
            <w:r>
              <w:rPr>
                <w:rFonts w:ascii="DejaVu Sans Mono" w:hAnsi="DejaVu Sans Mono" w:cs="DejaVu Sans Mono" w:eastAsia="DejaVu Sans Mono"/>
                <w:b w:val="0"/>
                <w:i w:val="0"/>
                <w:color w:val="24313A"/>
                <w:sz w:val="18"/>
              </w:rPr>
              <w:t xml:space="preserve">  proposition, source_utterance,</w:t>
            </w:r>
            <w:r>
              <w:br/>
            </w:r>
            <w:r>
              <w:rPr>
                <w:rFonts w:ascii="DejaVu Sans Mono" w:hAnsi="DejaVu Sans Mono" w:cs="DejaVu Sans Mono" w:eastAsia="DejaVu Sans Mono"/>
                <w:b w:val="0"/>
                <w:i w:val="0"/>
                <w:color w:val="24313A"/>
                <w:sz w:val="18"/>
              </w:rPr>
              <w:t xml:space="preserve">  licensed_relations, domain,</w:t>
            </w:r>
            <w:r>
              <w:br/>
            </w:r>
            <w:r>
              <w:rPr>
                <w:rFonts w:ascii="DejaVu Sans Mono" w:hAnsi="DejaVu Sans Mono" w:cs="DejaVu Sans Mono" w:eastAsia="DejaVu Sans Mono"/>
                <w:b w:val="0"/>
                <w:i w:val="0"/>
                <w:color w:val="24313A"/>
                <w:sz w:val="18"/>
              </w:rPr>
              <w:t xml:space="preserve">  evidence, evidence_rank,</w:t>
            </w:r>
            <w:r>
              <w:br/>
            </w:r>
            <w:r>
              <w:rPr>
                <w:rFonts w:ascii="DejaVu Sans Mono" w:hAnsi="DejaVu Sans Mono" w:cs="DejaVu Sans Mono" w:eastAsia="DejaVu Sans Mono"/>
                <w:b w:val="0"/>
                <w:i w:val="0"/>
                <w:color w:val="24313A"/>
                <w:sz w:val="18"/>
              </w:rPr>
              <w:t xml:space="preserve">  assumptions, blockers,</w:t>
            </w:r>
            <w:r>
              <w:br/>
            </w:r>
            <w:r>
              <w:rPr>
                <w:rFonts w:ascii="DejaVu Sans Mono" w:hAnsi="DejaVu Sans Mono" w:cs="DejaVu Sans Mono" w:eastAsia="DejaVu Sans Mono"/>
                <w:b w:val="0"/>
                <w:i w:val="0"/>
                <w:color w:val="24313A"/>
                <w:sz w:val="18"/>
              </w:rPr>
              <w:t xml:space="preserve">  residuals, prohibited_inferences</w:t>
            </w:r>
            <w:r>
              <w:br/>
            </w:r>
            <w:r>
              <w:rPr>
                <w:rFonts w:ascii="DejaVu Sans Mono" w:hAnsi="DejaVu Sans Mono" w:cs="DejaVu Sans Mono" w:eastAsia="DejaVu Sans Mono"/>
                <w:b w:val="0"/>
                <w:i w:val="0"/>
                <w:color w:val="24313A"/>
                <w:sz w:val="18"/>
              </w:rPr>
              <w:t>}</w:t>
            </w:r>
          </w:p>
        </w:tc>
      </w:tr>
    </w:tbl>
    <w:p>
      <w:pPr>
        <w:spacing w:after="20"/>
      </w:pPr>
    </w:p>
    <w:p>
      <w:pPr>
        <w:spacing w:before="140" w:after="80"/>
        <w:jc w:val="right"/>
        <w:keepNext/>
        <w:bidi w:val="1"/>
      </w:pPr>
      <w:r>
        <w:rPr>
          <w:rFonts w:ascii="Noto Sans Arabic" w:hAnsi="Noto Sans Arabic" w:cs="Noto Sans Arabic" w:eastAsia="Noto Sans Arabic"/>
          <w:b/>
          <w:i w:val="0"/>
          <w:color w:val="2F6F73"/>
          <w:sz w:val="26"/>
          <w:rtl w:val="1"/>
        </w:rPr>
        <w:t>المادة (28): قانون عدم القفز من الإفادة</w:t>
      </w:r>
    </w:p>
    <w:p>
      <w:pPr>
        <w:spacing w:after="100" w:line="283" w:lineRule="auto"/>
        <w:jc w:val="right"/>
        <w:keepNext w:val="0"/>
        <w:bidi w:val="1"/>
      </w:pPr>
      <w:r>
        <w:rPr>
          <w:rFonts w:ascii="Amiri" w:hAnsi="Amiri" w:cs="Amiri" w:eastAsia="Amiri"/>
          <w:b w:val="0"/>
          <w:i w:val="0"/>
          <w:color w:val="1F2933"/>
          <w:sz w:val="24"/>
          <w:rtl w:val="1"/>
        </w:rPr>
        <w:t>لا تنتج IfadahCandidate حكمًا أو قاعدة أو فعلًا بذاتها. ولا تُفتح لها صلاحية Hokom إلا عبر عقد دخول يعلن الادعاء المطلوب تحقيقه والواقع والمجال والدليل والرتبة والبقايا.</w:t>
      </w:r>
    </w:p>
    <w:p>
      <w:pPr>
        <w:spacing w:before="140" w:after="80"/>
        <w:jc w:val="right"/>
        <w:keepNext/>
        <w:bidi w:val="1"/>
      </w:pPr>
      <w:r>
        <w:rPr>
          <w:rFonts w:ascii="Noto Sans Arabic" w:hAnsi="Noto Sans Arabic" w:cs="Noto Sans Arabic" w:eastAsia="Noto Sans Arabic"/>
          <w:b/>
          <w:i w:val="0"/>
          <w:color w:val="2F6F73"/>
          <w:sz w:val="26"/>
          <w:rtl w:val="1"/>
        </w:rPr>
        <w:t>المادة (29): عقد منشأ الادعاء</w:t>
      </w:r>
    </w:p>
    <w:p>
      <w:pPr>
        <w:spacing w:after="100" w:line="283" w:lineRule="auto"/>
        <w:jc w:val="right"/>
        <w:keepNext w:val="0"/>
        <w:bidi w:val="1"/>
      </w:pPr>
      <w:r>
        <w:rPr>
          <w:rFonts w:ascii="Amiri" w:hAnsi="Amiri" w:cs="Amiri" w:eastAsia="Amiri"/>
          <w:b w:val="0"/>
          <w:i w:val="0"/>
          <w:color w:val="1F2933"/>
          <w:sz w:val="24"/>
          <w:rtl w:val="1"/>
        </w:rPr>
        <w:t>كل Claim يدخل Hokom يجب أن يحمل ClaimProvenance يثبت هويته الأصلية، ونوع مصدره، وحامله، وسطحه المحفوظ، ومجاله، وتحولاته، ومعلوماته السابقة، وبقايا منشئه.</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ClaimProvenance = {</w:t>
            </w:r>
            <w:r>
              <w:br/>
            </w:r>
            <w:r>
              <w:rPr>
                <w:rFonts w:ascii="DejaVu Sans Mono" w:hAnsi="DejaVu Sans Mono" w:cs="DejaVu Sans Mono" w:eastAsia="DejaVu Sans Mono"/>
                <w:b w:val="0"/>
                <w:i w:val="0"/>
                <w:color w:val="24313A"/>
                <w:sz w:val="18"/>
              </w:rPr>
              <w:t xml:space="preserve">  claim_id, source_identity, source_type,</w:t>
            </w:r>
            <w:r>
              <w:br/>
            </w:r>
            <w:r>
              <w:rPr>
                <w:rFonts w:ascii="DejaVu Sans Mono" w:hAnsi="DejaVu Sans Mono" w:cs="DejaVu Sans Mono" w:eastAsia="DejaVu Sans Mono"/>
                <w:b w:val="0"/>
                <w:i w:val="0"/>
                <w:color w:val="24313A"/>
                <w:sz w:val="18"/>
              </w:rPr>
              <w:t xml:space="preserve">  originating_layer, carrier,</w:t>
            </w:r>
            <w:r>
              <w:br/>
            </w:r>
            <w:r>
              <w:rPr>
                <w:rFonts w:ascii="DejaVu Sans Mono" w:hAnsi="DejaVu Sans Mono" w:cs="DejaVu Sans Mono" w:eastAsia="DejaVu Sans Mono"/>
                <w:b w:val="0"/>
                <w:i w:val="0"/>
                <w:color w:val="24313A"/>
                <w:sz w:val="18"/>
              </w:rPr>
              <w:t xml:space="preserve">  preserved_surface, prior_information,</w:t>
            </w:r>
            <w:r>
              <w:br/>
            </w:r>
            <w:r>
              <w:rPr>
                <w:rFonts w:ascii="DejaVu Sans Mono" w:hAnsi="DejaVu Sans Mono" w:cs="DejaVu Sans Mono" w:eastAsia="DejaVu Sans Mono"/>
                <w:b w:val="0"/>
                <w:i w:val="0"/>
                <w:color w:val="24313A"/>
                <w:sz w:val="18"/>
              </w:rPr>
              <w:t xml:space="preserve">  domain, transformation_history,</w:t>
            </w:r>
            <w:r>
              <w:br/>
            </w:r>
            <w:r>
              <w:rPr>
                <w:rFonts w:ascii="DejaVu Sans Mono" w:hAnsi="DejaVu Sans Mono" w:cs="DejaVu Sans Mono" w:eastAsia="DejaVu Sans Mono"/>
                <w:b w:val="0"/>
                <w:i w:val="0"/>
                <w:color w:val="24313A"/>
                <w:sz w:val="18"/>
              </w:rPr>
              <w:t xml:space="preserve">  provenance_residuals</w:t>
            </w:r>
            <w:r>
              <w:br/>
            </w:r>
            <w:r>
              <w:rPr>
                <w:rFonts w:ascii="DejaVu Sans Mono" w:hAnsi="DejaVu Sans Mono" w:cs="DejaVu Sans Mono" w:eastAsia="DejaVu Sans Mono"/>
                <w:b w:val="0"/>
                <w:i w:val="0"/>
                <w:color w:val="24313A"/>
                <w:sz w:val="18"/>
              </w:rPr>
              <w:t>}</w:t>
            </w:r>
          </w:p>
        </w:tc>
      </w:tr>
    </w:tbl>
    <w:p>
      <w:pPr>
        <w:spacing w:after="20"/>
      </w:pPr>
    </w:p>
    <w:p>
      <w:pPr>
        <w:spacing w:before="140" w:after="80"/>
        <w:jc w:val="right"/>
        <w:keepNext/>
        <w:bidi w:val="1"/>
      </w:pPr>
      <w:r>
        <w:rPr>
          <w:rFonts w:ascii="Noto Sans Arabic" w:hAnsi="Noto Sans Arabic" w:cs="Noto Sans Arabic" w:eastAsia="Noto Sans Arabic"/>
          <w:b/>
          <w:i w:val="0"/>
          <w:color w:val="2F6F73"/>
          <w:sz w:val="26"/>
          <w:rtl w:val="1"/>
        </w:rPr>
        <w:t>المادة (30): حالات نقص المنشأ</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إذا فُقد المصدر مع بقاء الادعاء: لا يُمنح الترخيص الأعلى، ويُسجل SOURCE_UNRESOLVED.</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إذا عُرف المصدر وجهل الحامل: يُسجل CARRIER_UNVERIFIED.</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إذا تغير السطح ولم تحفظ التحويلات: يُسجل TRANSFORMATION_TRACE_GAP.</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إذا دخلت معلومة سابقة غير موثقة: تُصنف ASSUMPTION ولا تُعامل Evidence.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إذا اختلط مجالان: يمنع العبور حتى يوجد DomainBridge صريح.</w:t>
      </w:r>
    </w:p>
    <w:p>
      <w:pPr>
        <w:pStyle w:val="Heading1"/>
        <w:pageBreakBefore/>
        <w:jc w:val="right"/>
        <w:bidi w:val="1"/>
      </w:pPr>
      <w:r>
        <w:rPr>
          <w:rFonts w:ascii="Noto Sans Arabic" w:hAnsi="Noto Sans Arabic" w:cs="Noto Sans Arabic" w:eastAsia="Noto Sans Arabic"/>
          <w:b/>
          <w:i w:val="0"/>
          <w:color w:val="16324F"/>
          <w:sz w:val="36"/>
          <w:rtl w:val="1"/>
        </w:rPr>
        <w:t>الباب الرابع — النواة الحكمية: من الوضع إلى البقايا</w:t>
      </w:r>
    </w:p>
    <w:tbl>
      <w:tblPr>
        <w:tblW w:type="auto" w:w="0"/>
        <w:jc w:val="center"/>
        <w:tblLook w:firstColumn="1" w:firstRow="1" w:lastColumn="0" w:lastRow="0" w:noHBand="0" w:noVBand="1" w:val="04A0"/>
      </w:tblPr>
      <w:tblGrid>
        <w:gridCol w:w="9524"/>
      </w:tblGrid>
      <w:tr>
        <w:tc>
          <w:tcPr>
            <w:tcW w:type="dxa" w:w="9524"/>
            <w:shd w:fill="F6F0E3"/>
            <w:tcMar>
              <w:top w:w="150" w:type="dxa"/>
              <w:start w:w="190" w:type="dxa"/>
              <w:bottom w:w="150" w:type="dxa"/>
              <w:end w:w="190" w:type="dxa"/>
            </w:tcMar>
          </w:tcPr>
          <w:p>
            <w:pPr>
              <w:jc w:val="right"/>
              <w:bidi w:val="1"/>
            </w:pPr>
            <w:r>
              <w:rPr>
                <w:rFonts w:ascii="Noto Sans Arabic" w:hAnsi="Noto Sans Arabic" w:cs="Noto Sans Arabic" w:eastAsia="Noto Sans Arabic"/>
                <w:b/>
                <w:i w:val="0"/>
                <w:color w:val="16324F"/>
                <w:sz w:val="25"/>
                <w:rtl w:val="1"/>
              </w:rPr>
              <w:t>السلسلة الحاكمة</w:t>
            </w:r>
          </w:p>
          <w:p>
            <w:pPr>
              <w:jc w:val="right"/>
              <w:bidi w:val="1"/>
            </w:pPr>
            <w:r>
              <w:rPr>
                <w:rFonts w:ascii="Amiri" w:hAnsi="Amiri" w:cs="Amiri" w:eastAsia="Amiri"/>
                <w:b w:val="0"/>
                <w:i w:val="0"/>
                <w:color w:val="1F2933"/>
                <w:sz w:val="24"/>
                <w:rtl w:val="1"/>
              </w:rPr>
              <w:t>الوضع → السبب → الشرط → المانع → العلة → القادح → الصحة → الفساد → البطلان → الأثر → البقايا</w:t>
            </w:r>
          </w:p>
        </w:tc>
      </w:tr>
    </w:tbl>
    <w:p>
      <w:pPr>
        <w:spacing w:after="20"/>
      </w:pPr>
    </w:p>
    <w:p>
      <w:pPr>
        <w:spacing w:before="140" w:after="80"/>
        <w:jc w:val="right"/>
        <w:keepNext/>
        <w:bidi w:val="1"/>
      </w:pPr>
      <w:r>
        <w:rPr>
          <w:rFonts w:ascii="Noto Sans Arabic" w:hAnsi="Noto Sans Arabic" w:cs="Noto Sans Arabic" w:eastAsia="Noto Sans Arabic"/>
          <w:b/>
          <w:i w:val="0"/>
          <w:color w:val="2F6F73"/>
          <w:sz w:val="26"/>
          <w:rtl w:val="1"/>
        </w:rPr>
        <w:t>المادة (31): الوضع</w:t>
      </w:r>
    </w:p>
    <w:p>
      <w:pPr>
        <w:spacing w:after="100" w:line="283" w:lineRule="auto"/>
        <w:jc w:val="right"/>
        <w:keepNext w:val="0"/>
        <w:bidi w:val="1"/>
      </w:pPr>
      <w:r>
        <w:rPr>
          <w:rFonts w:ascii="Amiri" w:hAnsi="Amiri" w:cs="Amiri" w:eastAsia="Amiri"/>
          <w:b w:val="0"/>
          <w:i w:val="0"/>
          <w:color w:val="1F2933"/>
          <w:sz w:val="24"/>
          <w:rtl w:val="1"/>
        </w:rPr>
        <w:t>الوضع هو تعيين الادعاء في موضعه الأول: ما الذي يدعيه، وعلى أي محل، وفي أي مجال، وبأي نوع ClaimKind، وما الحالة السابقة التي ورثها. وهو يمنع خلط سؤال الجذر بسؤال الوزن، أو سؤال العلاقة بسؤال الحكم القانوني.</w:t>
      </w:r>
    </w:p>
    <w:p>
      <w:pPr>
        <w:spacing w:before="140" w:after="80"/>
        <w:jc w:val="right"/>
        <w:keepNext/>
        <w:bidi w:val="1"/>
      </w:pPr>
      <w:r>
        <w:rPr>
          <w:rFonts w:ascii="Noto Sans Arabic" w:hAnsi="Noto Sans Arabic" w:cs="Noto Sans Arabic" w:eastAsia="Noto Sans Arabic"/>
          <w:b/>
          <w:i w:val="0"/>
          <w:color w:val="2F6F73"/>
          <w:sz w:val="26"/>
          <w:rtl w:val="1"/>
        </w:rPr>
        <w:t>المادة (32): السبب</w:t>
      </w:r>
    </w:p>
    <w:p>
      <w:pPr>
        <w:spacing w:after="100" w:line="283" w:lineRule="auto"/>
        <w:jc w:val="right"/>
        <w:keepNext w:val="0"/>
        <w:bidi w:val="1"/>
      </w:pPr>
      <w:r>
        <w:rPr>
          <w:rFonts w:ascii="Amiri" w:hAnsi="Amiri" w:cs="Amiri" w:eastAsia="Amiri"/>
          <w:b w:val="0"/>
          <w:i w:val="0"/>
          <w:color w:val="1F2933"/>
          <w:sz w:val="24"/>
          <w:rtl w:val="1"/>
        </w:rPr>
        <w:t>السبب هو الواقعة أو الإشارة المنضبطة التي تفتح إمكان تشغيل الحكم أو الانتقال، من غير أن تكفي وحدها لوجود النتيجة. ويجب أن يكون معلوم الصلة بالمحل ومثبتًا بدليل في مجاله.</w:t>
      </w:r>
    </w:p>
    <w:p>
      <w:pPr>
        <w:spacing w:before="140" w:after="80"/>
        <w:jc w:val="right"/>
        <w:keepNext/>
        <w:bidi w:val="1"/>
      </w:pPr>
      <w:r>
        <w:rPr>
          <w:rFonts w:ascii="Noto Sans Arabic" w:hAnsi="Noto Sans Arabic" w:cs="Noto Sans Arabic" w:eastAsia="Noto Sans Arabic"/>
          <w:b/>
          <w:i w:val="0"/>
          <w:color w:val="2F6F73"/>
          <w:sz w:val="26"/>
          <w:rtl w:val="1"/>
        </w:rPr>
        <w:t>المادة (33): الشرط</w:t>
      </w:r>
    </w:p>
    <w:p>
      <w:pPr>
        <w:spacing w:after="100" w:line="283" w:lineRule="auto"/>
        <w:jc w:val="right"/>
        <w:keepNext w:val="0"/>
        <w:bidi w:val="1"/>
      </w:pPr>
      <w:r>
        <w:rPr>
          <w:rFonts w:ascii="Amiri" w:hAnsi="Amiri" w:cs="Amiri" w:eastAsia="Amiri"/>
          <w:b w:val="0"/>
          <w:i w:val="0"/>
          <w:color w:val="1F2933"/>
          <w:sz w:val="24"/>
          <w:rtl w:val="1"/>
        </w:rPr>
        <w:t>الشرط ما يلزم من عدمه عدم الترخيص أو عدم ترتب الأثر، ولا يلزم من وجوده وحده وجود الحكم. وتقسم الشروط إلى لازمة وكافية ومساندة، ويجب عدم خلطها في حقل واحد.</w:t>
      </w:r>
    </w:p>
    <w:p>
      <w:pPr>
        <w:spacing w:before="140" w:after="80"/>
        <w:jc w:val="right"/>
        <w:keepNext/>
        <w:bidi w:val="1"/>
      </w:pPr>
      <w:r>
        <w:rPr>
          <w:rFonts w:ascii="Noto Sans Arabic" w:hAnsi="Noto Sans Arabic" w:cs="Noto Sans Arabic" w:eastAsia="Noto Sans Arabic"/>
          <w:b/>
          <w:i w:val="0"/>
          <w:color w:val="2F6F73"/>
          <w:sz w:val="26"/>
          <w:rtl w:val="1"/>
        </w:rPr>
        <w:t>المادة (34): المانع</w:t>
      </w:r>
    </w:p>
    <w:p>
      <w:pPr>
        <w:spacing w:after="100" w:line="283" w:lineRule="auto"/>
        <w:jc w:val="right"/>
        <w:keepNext w:val="0"/>
        <w:bidi w:val="1"/>
      </w:pPr>
      <w:r>
        <w:rPr>
          <w:rFonts w:ascii="Amiri" w:hAnsi="Amiri" w:cs="Amiri" w:eastAsia="Amiri"/>
          <w:b w:val="0"/>
          <w:i w:val="0"/>
          <w:color w:val="1F2933"/>
          <w:sz w:val="24"/>
          <w:rtl w:val="1"/>
        </w:rPr>
        <w:t>المانع وصف أو واقعة يلزم من وجودها إغلاق المسار أو منع الأثر، مع بقاء الأصل قابلًا للتصور. والمانع النشط يمنع Licensed حتى يزول أو يثبت عدم انطباقه.</w:t>
      </w:r>
    </w:p>
    <w:p>
      <w:pPr>
        <w:spacing w:before="140" w:after="80"/>
        <w:jc w:val="right"/>
        <w:keepNext/>
        <w:bidi w:val="1"/>
      </w:pPr>
      <w:r>
        <w:rPr>
          <w:rFonts w:ascii="Noto Sans Arabic" w:hAnsi="Noto Sans Arabic" w:cs="Noto Sans Arabic" w:eastAsia="Noto Sans Arabic"/>
          <w:b/>
          <w:i w:val="0"/>
          <w:color w:val="2F6F73"/>
          <w:sz w:val="26"/>
          <w:rtl w:val="1"/>
        </w:rPr>
        <w:t>المادة (35): العلة</w:t>
      </w:r>
    </w:p>
    <w:p>
      <w:pPr>
        <w:spacing w:after="100" w:line="283" w:lineRule="auto"/>
        <w:jc w:val="right"/>
        <w:keepNext w:val="0"/>
        <w:bidi w:val="1"/>
      </w:pPr>
      <w:r>
        <w:rPr>
          <w:rFonts w:ascii="Amiri" w:hAnsi="Amiri" w:cs="Amiri" w:eastAsia="Amiri"/>
          <w:b w:val="0"/>
          <w:i w:val="0"/>
          <w:color w:val="1F2933"/>
          <w:sz w:val="24"/>
          <w:rtl w:val="1"/>
        </w:rPr>
        <w:t>العلة وصف مؤثر منضبط يفسر نسبة الحكم إلى محله، وتتطلب ثبوت المناسبة أو العلاقة المعتبرة، وسلامة الانضباط، وعدم النقض بقادح أقوى. ولا تُساوى العلة بالسبب ولا بمجرد القرينة.</w:t>
      </w:r>
    </w:p>
    <w:p>
      <w:pPr>
        <w:spacing w:before="140" w:after="80"/>
        <w:jc w:val="right"/>
        <w:keepNext/>
        <w:bidi w:val="1"/>
      </w:pPr>
      <w:r>
        <w:rPr>
          <w:rFonts w:ascii="Noto Sans Arabic" w:hAnsi="Noto Sans Arabic" w:cs="Noto Sans Arabic" w:eastAsia="Noto Sans Arabic"/>
          <w:b/>
          <w:i w:val="0"/>
          <w:color w:val="2F6F73"/>
          <w:sz w:val="26"/>
          <w:rtl w:val="1"/>
        </w:rPr>
        <w:t>المادة (36): القادح</w:t>
      </w:r>
    </w:p>
    <w:p>
      <w:pPr>
        <w:spacing w:after="100" w:line="283" w:lineRule="auto"/>
        <w:jc w:val="right"/>
        <w:keepNext w:val="0"/>
        <w:bidi w:val="1"/>
      </w:pPr>
      <w:r>
        <w:rPr>
          <w:rFonts w:ascii="Amiri" w:hAnsi="Amiri" w:cs="Amiri" w:eastAsia="Amiri"/>
          <w:b w:val="0"/>
          <w:i w:val="0"/>
          <w:color w:val="1F2933"/>
          <w:sz w:val="24"/>
          <w:rtl w:val="1"/>
        </w:rPr>
        <w:t>القادح Defeater هو ما يطعن في صلاحية الدليل أو العلة أو العلاقة أو التعميم أو المجال بعد ظهورها. وقد لا يغلق الأصل كله، لكنه يمنع وراثة الرتبة أو يوجب خفضها أو التأجيل أو الفساد.</w:t>
      </w:r>
    </w:p>
    <w:p>
      <w:pPr>
        <w:spacing w:before="140" w:after="80"/>
        <w:jc w:val="right"/>
        <w:keepNext/>
        <w:bidi w:val="1"/>
      </w:pPr>
      <w:r>
        <w:rPr>
          <w:rFonts w:ascii="Noto Sans Arabic" w:hAnsi="Noto Sans Arabic" w:cs="Noto Sans Arabic" w:eastAsia="Noto Sans Arabic"/>
          <w:b/>
          <w:i w:val="0"/>
          <w:color w:val="2F6F73"/>
          <w:sz w:val="26"/>
          <w:rtl w:val="1"/>
        </w:rPr>
        <w:t>المادة (37): الصحة</w:t>
      </w:r>
    </w:p>
    <w:p>
      <w:pPr>
        <w:spacing w:after="100" w:line="283" w:lineRule="auto"/>
        <w:jc w:val="right"/>
        <w:keepNext w:val="0"/>
        <w:bidi w:val="1"/>
      </w:pPr>
      <w:r>
        <w:rPr>
          <w:rFonts w:ascii="Amiri" w:hAnsi="Amiri" w:cs="Amiri" w:eastAsia="Amiri"/>
          <w:b w:val="0"/>
          <w:i w:val="0"/>
          <w:color w:val="1F2933"/>
          <w:sz w:val="24"/>
          <w:rtl w:val="1"/>
        </w:rPr>
        <w:t>الصحة تحقق الأصل والوصف والشروط وانتفاء الموانع والقوادح بالقدر المطلوب، مع إمكان ترتيب الأثر المقصود. ولا تعني الصحة يقينًا مطلقًا، بل صحة بحسب المجال والرتبة والدليل المعلن.</w:t>
      </w:r>
    </w:p>
    <w:p>
      <w:pPr>
        <w:spacing w:before="140" w:after="80"/>
        <w:jc w:val="right"/>
        <w:keepNext/>
        <w:bidi w:val="1"/>
      </w:pPr>
      <w:r>
        <w:rPr>
          <w:rFonts w:ascii="Noto Sans Arabic" w:hAnsi="Noto Sans Arabic" w:cs="Noto Sans Arabic" w:eastAsia="Noto Sans Arabic"/>
          <w:b/>
          <w:i w:val="0"/>
          <w:color w:val="2F6F73"/>
          <w:sz w:val="26"/>
          <w:rtl w:val="1"/>
        </w:rPr>
        <w:t>المادة (38): الفساد</w:t>
      </w:r>
    </w:p>
    <w:p>
      <w:pPr>
        <w:spacing w:after="100" w:line="283" w:lineRule="auto"/>
        <w:jc w:val="right"/>
        <w:keepNext w:val="0"/>
        <w:bidi w:val="1"/>
      </w:pPr>
      <w:r>
        <w:rPr>
          <w:rFonts w:ascii="Amiri" w:hAnsi="Amiri" w:cs="Amiri" w:eastAsia="Amiri"/>
          <w:b w:val="0"/>
          <w:i w:val="0"/>
          <w:color w:val="1F2933"/>
          <w:sz w:val="24"/>
          <w:rtl w:val="1"/>
        </w:rPr>
        <w:t>الفساد خلل في وصف أو شرط أو علاقة قابلة للإصلاح مع بقاء الأصل مشروعًا أو متصورًا. ويجب أن يحمل الحكم الفاسد RepairDirective يبين موضع الإصلاح وإمكان إعادة التقييم.</w:t>
      </w:r>
    </w:p>
    <w:p>
      <w:pPr>
        <w:spacing w:before="140" w:after="80"/>
        <w:jc w:val="right"/>
        <w:keepNext/>
        <w:bidi w:val="1"/>
      </w:pPr>
      <w:r>
        <w:rPr>
          <w:rFonts w:ascii="Noto Sans Arabic" w:hAnsi="Noto Sans Arabic" w:cs="Noto Sans Arabic" w:eastAsia="Noto Sans Arabic"/>
          <w:b/>
          <w:i w:val="0"/>
          <w:color w:val="2F6F73"/>
          <w:sz w:val="26"/>
          <w:rtl w:val="1"/>
        </w:rPr>
        <w:t>المادة (39): البطلان</w:t>
      </w:r>
    </w:p>
    <w:p>
      <w:pPr>
        <w:spacing w:after="100" w:line="283" w:lineRule="auto"/>
        <w:jc w:val="right"/>
        <w:keepNext w:val="0"/>
        <w:bidi w:val="1"/>
      </w:pPr>
      <w:r>
        <w:rPr>
          <w:rFonts w:ascii="Amiri" w:hAnsi="Amiri" w:cs="Amiri" w:eastAsia="Amiri"/>
          <w:b w:val="0"/>
          <w:i w:val="0"/>
          <w:color w:val="1F2933"/>
          <w:sz w:val="24"/>
          <w:rtl w:val="1"/>
        </w:rPr>
        <w:t>البطلان اختلال في الأصل أو الهوية أو المحل أو المجال أو أصل الترخيص يجعل المسار غير قابل للتصحيح بإصلاح وصف فرعي. ولا يجوز استعمال البطلان بدل Deferred لمجرد نقص الدليل.</w:t>
      </w:r>
    </w:p>
    <w:p>
      <w:pPr>
        <w:spacing w:before="140" w:after="80"/>
        <w:jc w:val="right"/>
        <w:keepNext/>
        <w:bidi w:val="1"/>
      </w:pPr>
      <w:r>
        <w:rPr>
          <w:rFonts w:ascii="Noto Sans Arabic" w:hAnsi="Noto Sans Arabic" w:cs="Noto Sans Arabic" w:eastAsia="Noto Sans Arabic"/>
          <w:b/>
          <w:i w:val="0"/>
          <w:color w:val="2F6F73"/>
          <w:sz w:val="26"/>
          <w:rtl w:val="1"/>
        </w:rPr>
        <w:t>المادة (40): الأثر المتوقع</w:t>
      </w:r>
    </w:p>
    <w:p>
      <w:pPr>
        <w:spacing w:after="100" w:line="283" w:lineRule="auto"/>
        <w:jc w:val="right"/>
        <w:keepNext w:val="0"/>
        <w:bidi w:val="1"/>
      </w:pPr>
      <w:r>
        <w:rPr>
          <w:rFonts w:ascii="Amiri" w:hAnsi="Amiri" w:cs="Amiri" w:eastAsia="Amiri"/>
          <w:b w:val="0"/>
          <w:i w:val="0"/>
          <w:color w:val="1F2933"/>
          <w:sz w:val="24"/>
          <w:rtl w:val="1"/>
        </w:rPr>
        <w:t>الأثر المتوقع هو ما يُراد ترتبه إذا صح الحكم ونُزِّل في محله. ويجب فصله عن الأثر الاستدلالي المحفوظ وعن الأثر الواقعي المتحقق لاحقًا.</w:t>
      </w:r>
    </w:p>
    <w:p>
      <w:pPr>
        <w:spacing w:before="140" w:after="80"/>
        <w:jc w:val="right"/>
        <w:keepNext/>
        <w:bidi w:val="1"/>
      </w:pPr>
      <w:r>
        <w:rPr>
          <w:rFonts w:ascii="Noto Sans Arabic" w:hAnsi="Noto Sans Arabic" w:cs="Noto Sans Arabic" w:eastAsia="Noto Sans Arabic"/>
          <w:b/>
          <w:i w:val="0"/>
          <w:color w:val="2F6F73"/>
          <w:sz w:val="26"/>
          <w:rtl w:val="1"/>
        </w:rPr>
        <w:t>المادة (41): البقايا</w:t>
      </w:r>
    </w:p>
    <w:p>
      <w:pPr>
        <w:spacing w:after="100" w:line="283" w:lineRule="auto"/>
        <w:jc w:val="right"/>
        <w:keepNext w:val="0"/>
        <w:bidi w:val="1"/>
      </w:pPr>
      <w:r>
        <w:rPr>
          <w:rFonts w:ascii="Amiri" w:hAnsi="Amiri" w:cs="Amiri" w:eastAsia="Amiri"/>
          <w:b w:val="0"/>
          <w:i w:val="0"/>
          <w:color w:val="1F2933"/>
          <w:sz w:val="24"/>
          <w:rtl w:val="1"/>
        </w:rPr>
        <w:t>البقايا كل ما بقي خارج الحسم: مجهول، أو غير مرخص، أو خارج المجال، أو محتاج إلى سياق، أو متعارض، أو مؤجل. والبقايا جزء من المخرج وليست هامشًا يجوز إسقاطه.</w:t>
      </w:r>
    </w:p>
    <w:p>
      <w:pPr>
        <w:spacing w:before="140" w:after="80"/>
        <w:jc w:val="right"/>
        <w:keepNext/>
        <w:bidi w:val="1"/>
      </w:pPr>
      <w:r>
        <w:rPr>
          <w:rFonts w:ascii="Noto Sans Arabic" w:hAnsi="Noto Sans Arabic" w:cs="Noto Sans Arabic" w:eastAsia="Noto Sans Arabic"/>
          <w:b/>
          <w:i w:val="0"/>
          <w:color w:val="2F6F73"/>
          <w:sz w:val="26"/>
          <w:rtl w:val="1"/>
        </w:rPr>
        <w:t>المادة (42): الحكم الداخلي والحالة التشغيلية</w:t>
      </w:r>
    </w:p>
    <w:p>
      <w:pPr>
        <w:spacing w:after="100" w:line="283" w:lineRule="auto"/>
        <w:jc w:val="right"/>
        <w:keepNext w:val="0"/>
        <w:bidi w:val="1"/>
      </w:pPr>
      <w:r>
        <w:rPr>
          <w:rFonts w:ascii="Amiri" w:hAnsi="Amiri" w:cs="Amiri" w:eastAsia="Amiri"/>
          <w:b w:val="0"/>
          <w:i w:val="0"/>
          <w:color w:val="1F2933"/>
          <w:sz w:val="24"/>
          <w:rtl w:val="1"/>
        </w:rPr>
        <w:t>يجب تمثيل الحكم الداخلي والحالة التشغيلية في محورين مستقلين؛ فقد يكون الادعاء صحيح الأصل لكنه Deferred لنقص دليل، أو صحيحًا لكنه Blocked لمانع، أو فاسدًا قابلًا للإصلاح، أو باطلًا في أصله.</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Assessment = {</w:t>
            </w:r>
            <w:r>
              <w:br/>
            </w:r>
            <w:r>
              <w:rPr>
                <w:rFonts w:ascii="DejaVu Sans Mono" w:hAnsi="DejaVu Sans Mono" w:cs="DejaVu Sans Mono" w:eastAsia="DejaVu Sans Mono"/>
                <w:b w:val="0"/>
                <w:i w:val="0"/>
                <w:color w:val="24313A"/>
                <w:sz w:val="18"/>
              </w:rPr>
              <w:t xml:space="preserve">  intrinsic_verdict: SAHIH | FASID | BATIL | UNDETERMINED,</w:t>
            </w:r>
            <w:r>
              <w:br/>
            </w:r>
            <w:r>
              <w:rPr>
                <w:rFonts w:ascii="DejaVu Sans Mono" w:hAnsi="DejaVu Sans Mono" w:cs="DejaVu Sans Mono" w:eastAsia="DejaVu Sans Mono"/>
                <w:b w:val="0"/>
                <w:i w:val="0"/>
                <w:color w:val="24313A"/>
                <w:sz w:val="18"/>
              </w:rPr>
              <w:t xml:space="preserve">  operational_status: LICENSED | BLOCKED | DEFERRED | RESIDUAL,</w:t>
            </w:r>
            <w:r>
              <w:br/>
            </w:r>
            <w:r>
              <w:rPr>
                <w:rFonts w:ascii="DejaVu Sans Mono" w:hAnsi="DejaVu Sans Mono" w:cs="DejaVu Sans Mono" w:eastAsia="DejaVu Sans Mono"/>
                <w:b w:val="0"/>
                <w:i w:val="0"/>
                <w:color w:val="24313A"/>
                <w:sz w:val="18"/>
              </w:rPr>
              <w:t xml:space="preserve">  evidence_rank,</w:t>
            </w:r>
            <w:r>
              <w:br/>
            </w:r>
            <w:r>
              <w:rPr>
                <w:rFonts w:ascii="DejaVu Sans Mono" w:hAnsi="DejaVu Sans Mono" w:cs="DejaVu Sans Mono" w:eastAsia="DejaVu Sans Mono"/>
                <w:b w:val="0"/>
                <w:i w:val="0"/>
                <w:color w:val="24313A"/>
                <w:sz w:val="18"/>
              </w:rPr>
              <w:t xml:space="preserve">  reasons,</w:t>
            </w:r>
            <w:r>
              <w:br/>
            </w:r>
            <w:r>
              <w:rPr>
                <w:rFonts w:ascii="DejaVu Sans Mono" w:hAnsi="DejaVu Sans Mono" w:cs="DejaVu Sans Mono" w:eastAsia="DejaVu Sans Mono"/>
                <w:b w:val="0"/>
                <w:i w:val="0"/>
                <w:color w:val="24313A"/>
                <w:sz w:val="18"/>
              </w:rPr>
              <w:t xml:space="preserve">  residuals</w:t>
            </w:r>
            <w:r>
              <w:br/>
            </w:r>
            <w:r>
              <w:rPr>
                <w:rFonts w:ascii="DejaVu Sans Mono" w:hAnsi="DejaVu Sans Mono" w:cs="DejaVu Sans Mono" w:eastAsia="DejaVu Sans Mono"/>
                <w:b w:val="0"/>
                <w:i w:val="0"/>
                <w:color w:val="24313A"/>
                <w:sz w:val="18"/>
              </w:rPr>
              <w:t>}</w:t>
            </w:r>
          </w:p>
        </w:tc>
      </w:tr>
    </w:tbl>
    <w:p>
      <w:pPr>
        <w:spacing w:after="20"/>
      </w:pPr>
    </w:p>
    <w:p>
      <w:pPr>
        <w:spacing w:before="140" w:after="80"/>
        <w:jc w:val="right"/>
        <w:keepNext/>
        <w:bidi w:val="1"/>
      </w:pPr>
      <w:r>
        <w:rPr>
          <w:rFonts w:ascii="Noto Sans Arabic" w:hAnsi="Noto Sans Arabic" w:cs="Noto Sans Arabic" w:eastAsia="Noto Sans Arabic"/>
          <w:b/>
          <w:i w:val="0"/>
          <w:color w:val="2F6F73"/>
          <w:sz w:val="26"/>
          <w:rtl w:val="1"/>
        </w:rPr>
        <w:t>المادة (43): قواعد الإخراج الملزمة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وجود مانع نشط معتبر ⇒ لا Licensed؛ والأصل Blocked ما لم يكن المانع نفسه غير محسوم فيكون Deferred.</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غياب مقدمة لازمة أو دليل مطلوب ⇒ Deferred، لا Batil.</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وقوع الادعاء خارج مجال العقد أو نوعه المرخص ⇒ Residual أو Blocked بحسب سبب الخروج.</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فساد قابل للإصلاح ⇒ FASID مع RepairDirective؛ ولا يخفى تحت رسالة عامة.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البطلان ⇒ BATIL مع بيان موضع انهيار الأصل.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Licensed لا يصدر إلا بعد اكتمال جميع البوابات المطلوبة وحفظ الأثر والبقايا.</w:t>
      </w:r>
    </w:p>
    <w:p>
      <w:pPr>
        <w:pStyle w:val="Heading1"/>
        <w:pageBreakBefore/>
        <w:jc w:val="right"/>
        <w:bidi w:val="1"/>
      </w:pPr>
      <w:r>
        <w:rPr>
          <w:rFonts w:ascii="Noto Sans Arabic" w:hAnsi="Noto Sans Arabic" w:cs="Noto Sans Arabic" w:eastAsia="Noto Sans Arabic"/>
          <w:b/>
          <w:i w:val="0"/>
          <w:color w:val="16324F"/>
          <w:sz w:val="36"/>
          <w:rtl w:val="1"/>
        </w:rPr>
        <w:t>الباب الخامس — الدليل، الرتبة، المجال، ومنع غسل الأدلة</w:t>
      </w:r>
    </w:p>
    <w:p>
      <w:pPr>
        <w:spacing w:before="140" w:after="80"/>
        <w:jc w:val="right"/>
        <w:keepNext/>
        <w:bidi w:val="1"/>
      </w:pPr>
      <w:r>
        <w:rPr>
          <w:rFonts w:ascii="Noto Sans Arabic" w:hAnsi="Noto Sans Arabic" w:cs="Noto Sans Arabic" w:eastAsia="Noto Sans Arabic"/>
          <w:b/>
          <w:i w:val="0"/>
          <w:color w:val="2F6F73"/>
          <w:sz w:val="26"/>
          <w:rtl w:val="1"/>
        </w:rPr>
        <w:t>المادة (44): استقلال محاور الإثبات</w:t>
      </w:r>
    </w:p>
    <w:p>
      <w:pPr>
        <w:spacing w:after="100" w:line="283" w:lineRule="auto"/>
        <w:jc w:val="right"/>
        <w:keepNext w:val="0"/>
        <w:bidi w:val="1"/>
      </w:pPr>
      <w:r>
        <w:rPr>
          <w:rFonts w:ascii="Amiri" w:hAnsi="Amiri" w:cs="Amiri" w:eastAsia="Amiri"/>
          <w:b w:val="0"/>
          <w:i w:val="0"/>
          <w:color w:val="1F2933"/>
          <w:sz w:val="24"/>
          <w:rtl w:val="1"/>
        </w:rPr>
        <w:t>رتبة الدليل ليست حالة الادعاء، وحالة الادعاء ليست صحة الحكم، وصحة الحكم ليست المطابقة، والمطابقة ليست سلطة الفعل. يجب أن تبقى هذه المحاور مستقلة في البيانات والواجهات والتقارير.</w:t>
      </w:r>
    </w:p>
    <w:p>
      <w:pPr>
        <w:spacing w:before="140" w:after="80"/>
        <w:jc w:val="right"/>
        <w:keepNext/>
        <w:bidi w:val="1"/>
      </w:pPr>
      <w:r>
        <w:rPr>
          <w:rFonts w:ascii="Noto Sans Arabic" w:hAnsi="Noto Sans Arabic" w:cs="Noto Sans Arabic" w:eastAsia="Noto Sans Arabic"/>
          <w:b/>
          <w:i w:val="0"/>
          <w:color w:val="2F6F73"/>
          <w:sz w:val="26"/>
          <w:rtl w:val="1"/>
        </w:rPr>
        <w:t>المادة (45): سلم الأدلة القائم</w:t>
      </w:r>
    </w:p>
    <w:p>
      <w:pPr>
        <w:spacing w:after="100" w:line="283" w:lineRule="auto"/>
        <w:jc w:val="right"/>
        <w:keepNext w:val="0"/>
        <w:bidi w:val="1"/>
      </w:pPr>
      <w:r>
        <w:rPr>
          <w:rFonts w:ascii="Amiri" w:hAnsi="Amiri" w:cs="Amiri" w:eastAsia="Amiri"/>
          <w:b w:val="0"/>
          <w:i w:val="0"/>
          <w:color w:val="1F2933"/>
          <w:sz w:val="24"/>
          <w:rtl w:val="1"/>
        </w:rPr>
        <w:t>يبقى سلم الأدلة الحالي من NO_EVIDENCE إلى MASS_TRANSMISSION هو السلم الحاكم، ولا يستبدل بسلم TRACE/CANDIDATE/HYPOTHESIS أو غيره. ويمكن استعمال تلك الألفاظ حالاتٍ للمرشح لا رتبًا للدليل.</w:t>
      </w:r>
    </w:p>
    <w:p>
      <w:pPr>
        <w:spacing w:before="140" w:after="80"/>
        <w:jc w:val="right"/>
        <w:keepNext/>
        <w:bidi w:val="1"/>
      </w:pPr>
      <w:r>
        <w:rPr>
          <w:rFonts w:ascii="Noto Sans Arabic" w:hAnsi="Noto Sans Arabic" w:cs="Noto Sans Arabic" w:eastAsia="Noto Sans Arabic"/>
          <w:b/>
          <w:i w:val="0"/>
          <w:color w:val="2F6F73"/>
          <w:sz w:val="26"/>
          <w:rtl w:val="1"/>
        </w:rPr>
        <w:t>المادة (46): قانون حفظ الرتبة</w:t>
      </w:r>
    </w:p>
    <w:p>
      <w:pPr>
        <w:spacing w:after="100" w:line="283" w:lineRule="auto"/>
        <w:jc w:val="right"/>
        <w:keepNext w:val="0"/>
        <w:bidi w:val="1"/>
      </w:pPr>
      <w:r>
        <w:rPr>
          <w:rFonts w:ascii="Amiri" w:hAnsi="Amiri" w:cs="Amiri" w:eastAsia="Amiri"/>
          <w:b w:val="0"/>
          <w:i w:val="0"/>
          <w:color w:val="1F2933"/>
          <w:sz w:val="24"/>
          <w:rtl w:val="1"/>
        </w:rPr>
        <w:t>رتبة النتيجة لا تزيد على أدنى رتبة بين المقدمات اللازمة. والمقدمة غير اللازمة لا تخفض الرتبة إلا إذا استعملت فعليًا في الاستدلال. ويجب تسجيل مجموعة المقدمات المطلوبة والمستعملة.</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Rank(conclusion) ≤ min { Rank(p) | p ∈ RequiredPremises }</w:t>
            </w:r>
          </w:p>
        </w:tc>
      </w:tr>
    </w:tbl>
    <w:p>
      <w:pPr>
        <w:spacing w:after="20"/>
      </w:pPr>
    </w:p>
    <w:p>
      <w:pPr>
        <w:spacing w:before="140" w:after="80"/>
        <w:jc w:val="right"/>
        <w:keepNext/>
        <w:bidi w:val="1"/>
      </w:pPr>
      <w:r>
        <w:rPr>
          <w:rFonts w:ascii="Noto Sans Arabic" w:hAnsi="Noto Sans Arabic" w:cs="Noto Sans Arabic" w:eastAsia="Noto Sans Arabic"/>
          <w:b/>
          <w:i w:val="0"/>
          <w:color w:val="2F6F73"/>
          <w:sz w:val="26"/>
          <w:rtl w:val="1"/>
        </w:rPr>
        <w:t>المادة (47): قانون الرتبة في الانتقال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رفع رتبة بلا دليل جديد معلوم المصدر والمجال.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حفظ رتبة إذا سقطت مقدمة لازمة أو ظهر قادح مساوٍ أو أقوى.</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تحويل تكرار الدليل نفسه إلى تعدد مستقل للأدلة.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جمع آلي لرتب غير متجانسة من مجالات مختلفة.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كل خفض رتبة أو رفعها يجب أن يظهر في TransitionTrace.</w:t>
      </w:r>
    </w:p>
    <w:p>
      <w:pPr>
        <w:spacing w:before="140" w:after="80"/>
        <w:jc w:val="right"/>
        <w:keepNext/>
        <w:bidi w:val="1"/>
      </w:pPr>
      <w:r>
        <w:rPr>
          <w:rFonts w:ascii="Noto Sans Arabic" w:hAnsi="Noto Sans Arabic" w:cs="Noto Sans Arabic" w:eastAsia="Noto Sans Arabic"/>
          <w:b/>
          <w:i w:val="0"/>
          <w:color w:val="2F6F73"/>
          <w:sz w:val="26"/>
          <w:rtl w:val="1"/>
        </w:rPr>
        <w:t>المادة (48): أنواع الواقع</w:t>
      </w:r>
    </w:p>
    <w:p>
      <w:pPr>
        <w:spacing w:after="100" w:line="283" w:lineRule="auto"/>
        <w:jc w:val="right"/>
        <w:keepNext w:val="0"/>
        <w:bidi w:val="1"/>
      </w:pPr>
      <w:r>
        <w:rPr>
          <w:rFonts w:ascii="Amiri" w:hAnsi="Amiri" w:cs="Amiri" w:eastAsia="Amiri"/>
          <w:b w:val="0"/>
          <w:i w:val="0"/>
          <w:color w:val="1F2933"/>
          <w:sz w:val="24"/>
          <w:rtl w:val="1"/>
        </w:rPr>
        <w:t>يحدد كل ادعاء RealityDomain واحدًا أو أكثر مع أولوية واضحة، مثل SURFACE وORTHOGRAPHIC وPHONOLOGICAL وMORPHOLOGICAL وSYNTACTIC وSEMANTIC وTEXTUAL وLEGAL وSHARI وEMPIRICAL وSOCIAL وHISTORICAL وMATHEMATICAL وHYPOTHETICAL.</w:t>
      </w:r>
    </w:p>
    <w:p>
      <w:pPr>
        <w:spacing w:before="140" w:after="80"/>
        <w:jc w:val="right"/>
        <w:keepNext/>
        <w:bidi w:val="1"/>
      </w:pPr>
      <w:r>
        <w:rPr>
          <w:rFonts w:ascii="Noto Sans Arabic" w:hAnsi="Noto Sans Arabic" w:cs="Noto Sans Arabic" w:eastAsia="Noto Sans Arabic"/>
          <w:b/>
          <w:i w:val="0"/>
          <w:color w:val="2F6F73"/>
          <w:sz w:val="26"/>
          <w:rtl w:val="1"/>
        </w:rPr>
        <w:t>المادة (49): عقد العبور بين المجالات</w:t>
      </w:r>
    </w:p>
    <w:p>
      <w:pPr>
        <w:spacing w:after="100" w:line="283" w:lineRule="auto"/>
        <w:jc w:val="right"/>
        <w:keepNext w:val="0"/>
        <w:bidi w:val="1"/>
      </w:pPr>
      <w:r>
        <w:rPr>
          <w:rFonts w:ascii="Amiri" w:hAnsi="Amiri" w:cs="Amiri" w:eastAsia="Amiri"/>
          <w:b w:val="0"/>
          <w:i w:val="0"/>
          <w:color w:val="1F2933"/>
          <w:sz w:val="24"/>
          <w:rtl w:val="1"/>
        </w:rPr>
        <w:t>لا يجوز استخدام دليل صرفي لإثبات حكم قانوني، أو دليل سطحي لإثبات جذر نهائي، أو قاعدة عامة لإثبات انطباق خاص، إلا عبر DomainBridge يحدد قاعدة النقل وحدوده ومقدار فقد الرتبة والبقايا الناتجة.</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DomainBridge = {</w:t>
            </w:r>
            <w:r>
              <w:br/>
            </w:r>
            <w:r>
              <w:rPr>
                <w:rFonts w:ascii="DejaVu Sans Mono" w:hAnsi="DejaVu Sans Mono" w:cs="DejaVu Sans Mono" w:eastAsia="DejaVu Sans Mono"/>
                <w:b w:val="0"/>
                <w:i w:val="0"/>
                <w:color w:val="24313A"/>
                <w:sz w:val="18"/>
              </w:rPr>
              <w:t xml:space="preserve">  from_domain, to_domain,</w:t>
            </w:r>
            <w:r>
              <w:br/>
            </w:r>
            <w:r>
              <w:rPr>
                <w:rFonts w:ascii="DejaVu Sans Mono" w:hAnsi="DejaVu Sans Mono" w:cs="DejaVu Sans Mono" w:eastAsia="DejaVu Sans Mono"/>
                <w:b w:val="0"/>
                <w:i w:val="0"/>
                <w:color w:val="24313A"/>
                <w:sz w:val="18"/>
              </w:rPr>
              <w:t xml:space="preserve">  admissible_claim_kinds,</w:t>
            </w:r>
            <w:r>
              <w:br/>
            </w:r>
            <w:r>
              <w:rPr>
                <w:rFonts w:ascii="DejaVu Sans Mono" w:hAnsi="DejaVu Sans Mono" w:cs="DejaVu Sans Mono" w:eastAsia="DejaVu Sans Mono"/>
                <w:b w:val="0"/>
                <w:i w:val="0"/>
                <w:color w:val="24313A"/>
                <w:sz w:val="18"/>
              </w:rPr>
              <w:t xml:space="preserve">  required_evidence,</w:t>
            </w:r>
            <w:r>
              <w:br/>
            </w:r>
            <w:r>
              <w:rPr>
                <w:rFonts w:ascii="DejaVu Sans Mono" w:hAnsi="DejaVu Sans Mono" w:cs="DejaVu Sans Mono" w:eastAsia="DejaVu Sans Mono"/>
                <w:b w:val="0"/>
                <w:i w:val="0"/>
                <w:color w:val="24313A"/>
                <w:sz w:val="18"/>
              </w:rPr>
              <w:t xml:space="preserve">  rank_policy,</w:t>
            </w:r>
            <w:r>
              <w:br/>
            </w:r>
            <w:r>
              <w:rPr>
                <w:rFonts w:ascii="DejaVu Sans Mono" w:hAnsi="DejaVu Sans Mono" w:cs="DejaVu Sans Mono" w:eastAsia="DejaVu Sans Mono"/>
                <w:b w:val="0"/>
                <w:i w:val="0"/>
                <w:color w:val="24313A"/>
                <w:sz w:val="18"/>
              </w:rPr>
              <w:t xml:space="preserve">  blockers,</w:t>
            </w:r>
            <w:r>
              <w:br/>
            </w:r>
            <w:r>
              <w:rPr>
                <w:rFonts w:ascii="DejaVu Sans Mono" w:hAnsi="DejaVu Sans Mono" w:cs="DejaVu Sans Mono" w:eastAsia="DejaVu Sans Mono"/>
                <w:b w:val="0"/>
                <w:i w:val="0"/>
                <w:color w:val="24313A"/>
                <w:sz w:val="18"/>
              </w:rPr>
              <w:t xml:space="preserve">  residual_policy</w:t>
            </w:r>
            <w:r>
              <w:br/>
            </w:r>
            <w:r>
              <w:rPr>
                <w:rFonts w:ascii="DejaVu Sans Mono" w:hAnsi="DejaVu Sans Mono" w:cs="DejaVu Sans Mono" w:eastAsia="DejaVu Sans Mono"/>
                <w:b w:val="0"/>
                <w:i w:val="0"/>
                <w:color w:val="24313A"/>
                <w:sz w:val="18"/>
              </w:rPr>
              <w:t>}</w:t>
            </w:r>
          </w:p>
        </w:tc>
      </w:tr>
    </w:tbl>
    <w:p>
      <w:pPr>
        <w:spacing w:after="20"/>
      </w:pPr>
    </w:p>
    <w:p>
      <w:pPr>
        <w:spacing w:before="140" w:after="80"/>
        <w:jc w:val="right"/>
        <w:keepNext/>
        <w:bidi w:val="1"/>
      </w:pPr>
      <w:r>
        <w:rPr>
          <w:rFonts w:ascii="Noto Sans Arabic" w:hAnsi="Noto Sans Arabic" w:cs="Noto Sans Arabic" w:eastAsia="Noto Sans Arabic"/>
          <w:b/>
          <w:i w:val="0"/>
          <w:color w:val="2F6F73"/>
          <w:sz w:val="26"/>
          <w:rtl w:val="1"/>
        </w:rPr>
        <w:t>المادة (50): منع غسل الأدلة</w:t>
      </w:r>
    </w:p>
    <w:p>
      <w:pPr>
        <w:spacing w:after="100" w:line="283" w:lineRule="auto"/>
        <w:jc w:val="right"/>
        <w:keepNext w:val="0"/>
        <w:bidi w:val="1"/>
      </w:pPr>
      <w:r>
        <w:rPr>
          <w:rFonts w:ascii="Amiri" w:hAnsi="Amiri" w:cs="Amiri" w:eastAsia="Amiri"/>
          <w:b w:val="0"/>
          <w:i w:val="0"/>
          <w:color w:val="1F2933"/>
          <w:sz w:val="24"/>
          <w:rtl w:val="1"/>
        </w:rPr>
        <w:t>غسل الدليل هو إعادة تقديم مخرج مرشح أو استنتاج داخلي بوصفه دليلًا مستقلًا أعلى رتبة من مصدره. وهو محظور، ويجب أن تحتفظ الأدلة المشتقة بسلسلة نسبها حتى الأصل.</w:t>
      </w:r>
    </w:p>
    <w:p>
      <w:pPr>
        <w:spacing w:before="140" w:after="80"/>
        <w:jc w:val="right"/>
        <w:keepNext/>
        <w:bidi w:val="1"/>
      </w:pPr>
      <w:r>
        <w:rPr>
          <w:rFonts w:ascii="Noto Sans Arabic" w:hAnsi="Noto Sans Arabic" w:cs="Noto Sans Arabic" w:eastAsia="Noto Sans Arabic"/>
          <w:b/>
          <w:i w:val="0"/>
          <w:color w:val="2F6F73"/>
          <w:sz w:val="26"/>
          <w:rtl w:val="1"/>
        </w:rPr>
        <w:t>المادة (51): التعارض والدليل المضاد</w:t>
      </w:r>
    </w:p>
    <w:p>
      <w:pPr>
        <w:spacing w:after="100" w:line="283" w:lineRule="auto"/>
        <w:jc w:val="right"/>
        <w:keepNext w:val="0"/>
        <w:bidi w:val="1"/>
      </w:pPr>
      <w:r>
        <w:rPr>
          <w:rFonts w:ascii="Amiri" w:hAnsi="Amiri" w:cs="Amiri" w:eastAsia="Amiri"/>
          <w:b w:val="0"/>
          <w:i w:val="0"/>
          <w:color w:val="1F2933"/>
          <w:sz w:val="24"/>
          <w:rtl w:val="1"/>
        </w:rPr>
        <w:t>عند وجود دليل مضاد، لا يختزل النظام التعارض إلى متوسط حسابي. بل يحدد مجال كل دليل، ورتبته، ومدى مباشرته، وما إذا كان مانعًا أو قادحًا أو مجرد قرينة، ثم يصدر الحالة الملائمة.</w:t>
      </w:r>
    </w:p>
    <w:p>
      <w:pPr>
        <w:spacing w:before="140" w:after="80"/>
        <w:jc w:val="right"/>
        <w:keepNext/>
        <w:bidi w:val="1"/>
      </w:pPr>
      <w:r>
        <w:rPr>
          <w:rFonts w:ascii="Noto Sans Arabic" w:hAnsi="Noto Sans Arabic" w:cs="Noto Sans Arabic" w:eastAsia="Noto Sans Arabic"/>
          <w:b/>
          <w:i w:val="0"/>
          <w:color w:val="2F6F73"/>
          <w:sz w:val="26"/>
          <w:rtl w:val="1"/>
        </w:rPr>
        <w:t>المادة (52): الافتراض ليس دليلًا</w:t>
      </w:r>
    </w:p>
    <w:p>
      <w:pPr>
        <w:spacing w:after="100" w:line="283" w:lineRule="auto"/>
        <w:jc w:val="right"/>
        <w:keepNext w:val="0"/>
        <w:bidi w:val="1"/>
      </w:pPr>
      <w:r>
        <w:rPr>
          <w:rFonts w:ascii="Amiri" w:hAnsi="Amiri" w:cs="Amiri" w:eastAsia="Amiri"/>
          <w:b w:val="0"/>
          <w:i w:val="0"/>
          <w:color w:val="1F2933"/>
          <w:sz w:val="24"/>
          <w:rtl w:val="1"/>
        </w:rPr>
        <w:t>كل قيمة لم تأت من مصدر معتبر أو استنباط مرخص تصنف Assumption. ويجوز أن تساعد في توليد مرشح، لكنها لا ترفع الرتبة ولا تغلق بقية لازمة.</w:t>
      </w:r>
    </w:p>
    <w:p>
      <w:pPr>
        <w:pStyle w:val="Heading1"/>
        <w:pageBreakBefore/>
        <w:jc w:val="right"/>
        <w:bidi w:val="1"/>
      </w:pPr>
      <w:r>
        <w:rPr>
          <w:rFonts w:ascii="Noto Sans Arabic" w:hAnsi="Noto Sans Arabic" w:cs="Noto Sans Arabic" w:eastAsia="Noto Sans Arabic"/>
          <w:b/>
          <w:i w:val="0"/>
          <w:color w:val="16324F"/>
          <w:sz w:val="36"/>
          <w:rtl w:val="1"/>
        </w:rPr>
        <w:t>الباب السادس — التطبيق والفعل والأثر الواقعي واختبار المطابقة</w:t>
      </w:r>
    </w:p>
    <w:p>
      <w:pPr>
        <w:spacing w:before="140" w:after="80"/>
        <w:jc w:val="right"/>
        <w:keepNext/>
        <w:bidi w:val="1"/>
      </w:pPr>
      <w:r>
        <w:rPr>
          <w:rFonts w:ascii="Noto Sans Arabic" w:hAnsi="Noto Sans Arabic" w:cs="Noto Sans Arabic" w:eastAsia="Noto Sans Arabic"/>
          <w:b/>
          <w:i w:val="0"/>
          <w:color w:val="2F6F73"/>
          <w:sz w:val="26"/>
          <w:rtl w:val="1"/>
        </w:rPr>
        <w:t>المادة (53): الفصل بين الحكم والتطبيق</w:t>
      </w:r>
    </w:p>
    <w:p>
      <w:pPr>
        <w:spacing w:after="100" w:line="283" w:lineRule="auto"/>
        <w:jc w:val="right"/>
        <w:keepNext w:val="0"/>
        <w:bidi w:val="1"/>
      </w:pPr>
      <w:r>
        <w:rPr>
          <w:rFonts w:ascii="Amiri" w:hAnsi="Amiri" w:cs="Amiri" w:eastAsia="Amiri"/>
          <w:b w:val="0"/>
          <w:i w:val="0"/>
          <w:color w:val="1F2933"/>
          <w:sz w:val="24"/>
          <w:rtl w:val="1"/>
        </w:rPr>
        <w:t>الحكم العام أو المرخص لا ينطبق تلقائيًا على كل واقعة. التطبيق ApplicationAssessment فحص مستقل لمطابقة شروط الحكم مع خصائص الواقعة المحددة.</w:t>
      </w:r>
    </w:p>
    <w:p>
      <w:pPr>
        <w:spacing w:before="140" w:after="80"/>
        <w:jc w:val="right"/>
        <w:keepNext/>
        <w:bidi w:val="1"/>
      </w:pPr>
      <w:r>
        <w:rPr>
          <w:rFonts w:ascii="Noto Sans Arabic" w:hAnsi="Noto Sans Arabic" w:cs="Noto Sans Arabic" w:eastAsia="Noto Sans Arabic"/>
          <w:b/>
          <w:i w:val="0"/>
          <w:color w:val="2F6F73"/>
          <w:sz w:val="26"/>
          <w:rtl w:val="1"/>
        </w:rPr>
        <w:t>المادة (54): مرشح التطبيق</w:t>
      </w:r>
    </w:p>
    <w:p>
      <w:pPr>
        <w:spacing w:after="100" w:line="283" w:lineRule="auto"/>
        <w:jc w:val="right"/>
        <w:keepNext w:val="0"/>
        <w:bidi w:val="1"/>
      </w:pPr>
      <w:r>
        <w:rPr>
          <w:rFonts w:ascii="Amiri" w:hAnsi="Amiri" w:cs="Amiri" w:eastAsia="Amiri"/>
          <w:b w:val="0"/>
          <w:i w:val="0"/>
          <w:color w:val="1F2933"/>
          <w:sz w:val="24"/>
          <w:rtl w:val="1"/>
        </w:rPr>
        <w:t>يجب أن يحمل ApplicationCandidate هوية الحكم، وهوية الواقعة، وشروط الانطباق، والاستثناءات، والموانع الخاصة، والسلطة، والرتبة، والبقايا.</w:t>
      </w:r>
    </w:p>
    <w:p>
      <w:pPr>
        <w:spacing w:before="140" w:after="80"/>
        <w:jc w:val="right"/>
        <w:keepNext/>
        <w:bidi w:val="1"/>
      </w:pPr>
      <w:r>
        <w:rPr>
          <w:rFonts w:ascii="Noto Sans Arabic" w:hAnsi="Noto Sans Arabic" w:cs="Noto Sans Arabic" w:eastAsia="Noto Sans Arabic"/>
          <w:b/>
          <w:i w:val="0"/>
          <w:color w:val="2F6F73"/>
          <w:sz w:val="26"/>
          <w:rtl w:val="1"/>
        </w:rPr>
        <w:t>المادة (55): السلطة والصلاحية</w:t>
      </w:r>
    </w:p>
    <w:p>
      <w:pPr>
        <w:spacing w:after="100" w:line="283" w:lineRule="auto"/>
        <w:jc w:val="right"/>
        <w:keepNext w:val="0"/>
        <w:bidi w:val="1"/>
      </w:pPr>
      <w:r>
        <w:rPr>
          <w:rFonts w:ascii="Amiri" w:hAnsi="Amiri" w:cs="Amiri" w:eastAsia="Amiri"/>
          <w:b w:val="0"/>
          <w:i w:val="0"/>
          <w:color w:val="1F2933"/>
          <w:sz w:val="24"/>
          <w:rtl w:val="1"/>
        </w:rPr>
        <w:t>لا فعل بلا AuthorityCheck مستقل. وصحة الحكم لا تمنح الفاعل سلطة تنفيذه، كما أن وجود السلطة لا يصحح حكمًا فاسدًا أو باطلًا.</w:t>
      </w:r>
    </w:p>
    <w:p>
      <w:pPr>
        <w:spacing w:before="140" w:after="80"/>
        <w:jc w:val="right"/>
        <w:keepNext/>
        <w:bidi w:val="1"/>
      </w:pPr>
      <w:r>
        <w:rPr>
          <w:rFonts w:ascii="Noto Sans Arabic" w:hAnsi="Noto Sans Arabic" w:cs="Noto Sans Arabic" w:eastAsia="Noto Sans Arabic"/>
          <w:b/>
          <w:i w:val="0"/>
          <w:color w:val="2F6F73"/>
          <w:sz w:val="26"/>
          <w:rtl w:val="1"/>
        </w:rPr>
        <w:t>المادة (56): الفعل المرخص</w:t>
      </w:r>
    </w:p>
    <w:p>
      <w:pPr>
        <w:spacing w:after="100" w:line="283" w:lineRule="auto"/>
        <w:jc w:val="right"/>
        <w:keepNext w:val="0"/>
        <w:bidi w:val="1"/>
      </w:pPr>
      <w:r>
        <w:rPr>
          <w:rFonts w:ascii="Amiri" w:hAnsi="Amiri" w:cs="Amiri" w:eastAsia="Amiri"/>
          <w:b w:val="0"/>
          <w:i w:val="0"/>
          <w:color w:val="1F2933"/>
          <w:sz w:val="24"/>
          <w:rtl w:val="1"/>
        </w:rPr>
        <w:t>AuthorizedAction هو الإجراء أو القول أو القرار الذي اجتاز الحكم والتطبيق والسلطة. ويجب تحديد حدوده، وموعده، ومجاله، وأثره المتوقع، وآلية إيقافه أو الرجوع عنه إن كان قابلاً لذلك.</w:t>
      </w:r>
    </w:p>
    <w:p>
      <w:pPr>
        <w:spacing w:before="140" w:after="80"/>
        <w:jc w:val="right"/>
        <w:keepNext/>
        <w:bidi w:val="1"/>
      </w:pPr>
      <w:r>
        <w:rPr>
          <w:rFonts w:ascii="Noto Sans Arabic" w:hAnsi="Noto Sans Arabic" w:cs="Noto Sans Arabic" w:eastAsia="Noto Sans Arabic"/>
          <w:b/>
          <w:i w:val="0"/>
          <w:color w:val="2F6F73"/>
          <w:sz w:val="26"/>
          <w:rtl w:val="1"/>
        </w:rPr>
        <w:t>المادة (57): حظر القفز إلى الفعل</w:t>
      </w:r>
    </w:p>
    <w:p>
      <w:pPr>
        <w:spacing w:after="100" w:line="283" w:lineRule="auto"/>
        <w:jc w:val="right"/>
        <w:keepNext w:val="0"/>
        <w:bidi w:val="1"/>
      </w:pPr>
      <w:r>
        <w:rPr>
          <w:rFonts w:ascii="Amiri" w:hAnsi="Amiri" w:cs="Amiri" w:eastAsia="Amiri"/>
          <w:b w:val="0"/>
          <w:i w:val="0"/>
          <w:color w:val="1F2933"/>
          <w:sz w:val="24"/>
          <w:rtl w:val="1"/>
        </w:rPr>
        <w:t>يُحظر صراحةً الانتقال المباشر من Concept أو IfadahCandidate أو CandidateRule إلى Action. والمسار الأدنى هو: إفادة مرشحة، ثم ادعاء حكم، ثم ترخيص Hokom، ثم فحص التطبيق، ثم فحص السلطة، ثم الفعل.</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IfadahCandidate → JudgmentCandidate → HokomLicensing → LicensedJudgment → ApplicationCheck → AuthorityCheck → AuthorizedAction</w:t>
            </w:r>
          </w:p>
        </w:tc>
      </w:tr>
    </w:tbl>
    <w:p>
      <w:pPr>
        <w:spacing w:after="20"/>
      </w:pPr>
    </w:p>
    <w:p>
      <w:pPr>
        <w:spacing w:before="140" w:after="80"/>
        <w:jc w:val="right"/>
        <w:keepNext/>
        <w:bidi w:val="1"/>
      </w:pPr>
      <w:r>
        <w:rPr>
          <w:rFonts w:ascii="Noto Sans Arabic" w:hAnsi="Noto Sans Arabic" w:cs="Noto Sans Arabic" w:eastAsia="Noto Sans Arabic"/>
          <w:b/>
          <w:i w:val="0"/>
          <w:color w:val="2F6F73"/>
          <w:sz w:val="26"/>
          <w:rtl w:val="1"/>
        </w:rPr>
        <w:t>المادة (58): الأثر الواقعي المتحقق</w:t>
      </w:r>
    </w:p>
    <w:p>
      <w:pPr>
        <w:spacing w:after="100" w:line="283" w:lineRule="auto"/>
        <w:jc w:val="right"/>
        <w:keepNext w:val="0"/>
        <w:bidi w:val="1"/>
      </w:pPr>
      <w:r>
        <w:rPr>
          <w:rFonts w:ascii="Amiri" w:hAnsi="Amiri" w:cs="Amiri" w:eastAsia="Amiri"/>
          <w:b w:val="0"/>
          <w:i w:val="0"/>
          <w:color w:val="1F2933"/>
          <w:sz w:val="24"/>
          <w:rtl w:val="1"/>
        </w:rPr>
        <w:t>RealizedEffect هو ما وقع بعد التنفيذ، ولا يُفترض مساواته بالأثر المتوقع. ويجب قياسه بوسيلة معلنة وحامل معلوم وتاريخ ودرجة ثقة.</w:t>
      </w:r>
    </w:p>
    <w:p>
      <w:pPr>
        <w:spacing w:before="140" w:after="80"/>
        <w:jc w:val="right"/>
        <w:keepNext/>
        <w:bidi w:val="1"/>
      </w:pPr>
      <w:r>
        <w:rPr>
          <w:rFonts w:ascii="Noto Sans Arabic" w:hAnsi="Noto Sans Arabic" w:cs="Noto Sans Arabic" w:eastAsia="Noto Sans Arabic"/>
          <w:b/>
          <w:i w:val="0"/>
          <w:color w:val="2F6F73"/>
          <w:sz w:val="26"/>
          <w:rtl w:val="1"/>
        </w:rPr>
        <w:t>المادة (59): عقد المطابقة</w:t>
      </w:r>
    </w:p>
    <w:p>
      <w:pPr>
        <w:spacing w:after="100" w:line="283" w:lineRule="auto"/>
        <w:jc w:val="right"/>
        <w:keepNext w:val="0"/>
        <w:bidi w:val="1"/>
      </w:pPr>
      <w:r>
        <w:rPr>
          <w:rFonts w:ascii="Amiri" w:hAnsi="Amiri" w:cs="Amiri" w:eastAsia="Amiri"/>
          <w:b w:val="0"/>
          <w:i w:val="0"/>
          <w:color w:val="1F2933"/>
          <w:sz w:val="24"/>
          <w:rtl w:val="1"/>
        </w:rPr>
        <w:t>CorrespondenceAssessment يقارن المتوقع بالمشاهد في RealityDomain معلوم، ويصنف العناصر المطابقة وغير المطابقة وغير القابلة للرصد، ويحفظ الدليل المضاد والبقايا وحاجة المراجعة.</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CorrespondenceAssessment = {</w:t>
            </w:r>
            <w:r>
              <w:br/>
            </w:r>
            <w:r>
              <w:rPr>
                <w:rFonts w:ascii="DejaVu Sans Mono" w:hAnsi="DejaVu Sans Mono" w:cs="DejaVu Sans Mono" w:eastAsia="DejaVu Sans Mono"/>
                <w:b w:val="0"/>
                <w:i w:val="0"/>
                <w:color w:val="24313A"/>
                <w:sz w:val="18"/>
              </w:rPr>
              <w:t xml:space="preserve">  expected_reality, observed_reality,</w:t>
            </w:r>
            <w:r>
              <w:br/>
            </w:r>
            <w:r>
              <w:rPr>
                <w:rFonts w:ascii="DejaVu Sans Mono" w:hAnsi="DejaVu Sans Mono" w:cs="DejaVu Sans Mono" w:eastAsia="DejaVu Sans Mono"/>
                <w:b w:val="0"/>
                <w:i w:val="0"/>
                <w:color w:val="24313A"/>
                <w:sz w:val="18"/>
              </w:rPr>
              <w:t xml:space="preserve">  reality_domain, comparison_criteria,</w:t>
            </w:r>
            <w:r>
              <w:br/>
            </w:r>
            <w:r>
              <w:rPr>
                <w:rFonts w:ascii="DejaVu Sans Mono" w:hAnsi="DejaVu Sans Mono" w:cs="DejaVu Sans Mono" w:eastAsia="DejaVu Sans Mono"/>
                <w:b w:val="0"/>
                <w:i w:val="0"/>
                <w:color w:val="24313A"/>
                <w:sz w:val="18"/>
              </w:rPr>
              <w:t xml:space="preserve">  matched_elements, mismatched_elements,</w:t>
            </w:r>
            <w:r>
              <w:br/>
            </w:r>
            <w:r>
              <w:rPr>
                <w:rFonts w:ascii="DejaVu Sans Mono" w:hAnsi="DejaVu Sans Mono" w:cs="DejaVu Sans Mono" w:eastAsia="DejaVu Sans Mono"/>
                <w:b w:val="0"/>
                <w:i w:val="0"/>
                <w:color w:val="24313A"/>
                <w:sz w:val="18"/>
              </w:rPr>
              <w:t xml:space="preserve">  unobservable_elements, contrary_evidence,</w:t>
            </w:r>
            <w:r>
              <w:br/>
            </w:r>
            <w:r>
              <w:rPr>
                <w:rFonts w:ascii="DejaVu Sans Mono" w:hAnsi="DejaVu Sans Mono" w:cs="DejaVu Sans Mono" w:eastAsia="DejaVu Sans Mono"/>
                <w:b w:val="0"/>
                <w:i w:val="0"/>
                <w:color w:val="24313A"/>
                <w:sz w:val="18"/>
              </w:rPr>
              <w:t xml:space="preserve">  status, residuals, review_required</w:t>
            </w:r>
            <w:r>
              <w:br/>
            </w:r>
            <w:r>
              <w:rPr>
                <w:rFonts w:ascii="DejaVu Sans Mono" w:hAnsi="DejaVu Sans Mono" w:cs="DejaVu Sans Mono" w:eastAsia="DejaVu Sans Mono"/>
                <w:b w:val="0"/>
                <w:i w:val="0"/>
                <w:color w:val="24313A"/>
                <w:sz w:val="18"/>
              </w:rPr>
              <w:t>}</w:t>
            </w:r>
          </w:p>
        </w:tc>
      </w:tr>
    </w:tbl>
    <w:p>
      <w:pPr>
        <w:spacing w:after="20"/>
      </w:pPr>
    </w:p>
    <w:p>
      <w:pPr>
        <w:spacing w:before="140" w:after="80"/>
        <w:jc w:val="right"/>
        <w:keepNext/>
        <w:bidi w:val="1"/>
      </w:pPr>
      <w:r>
        <w:rPr>
          <w:rFonts w:ascii="Noto Sans Arabic" w:hAnsi="Noto Sans Arabic" w:cs="Noto Sans Arabic" w:eastAsia="Noto Sans Arabic"/>
          <w:b/>
          <w:i w:val="0"/>
          <w:color w:val="2F6F73"/>
          <w:sz w:val="26"/>
          <w:rtl w:val="1"/>
        </w:rPr>
        <w:t>المادة (60): حالات المطابقة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MATCHED: تحقق المعيار في المجال المعلن.</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PARTIALLY_MATCHED: تحقق بعضه وبقي بعضه معلومًا.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NOT_MATCHED: ثبت عدم التحقق.</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UNOBSERVABLE: لا تتوافر وسيلة معتبرة للرصد.</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DEFERRED: البيانات أو الزمن أو المعايير غير كافية.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OUT_OF_DOMAIN: المقارنة طُلبت في واقع غير مرخص.</w:t>
      </w:r>
    </w:p>
    <w:p>
      <w:pPr>
        <w:spacing w:before="140" w:after="80"/>
        <w:jc w:val="right"/>
        <w:keepNext/>
        <w:bidi w:val="1"/>
      </w:pPr>
      <w:r>
        <w:rPr>
          <w:rFonts w:ascii="Noto Sans Arabic" w:hAnsi="Noto Sans Arabic" w:cs="Noto Sans Arabic" w:eastAsia="Noto Sans Arabic"/>
          <w:b/>
          <w:i w:val="0"/>
          <w:color w:val="2F6F73"/>
          <w:sz w:val="26"/>
          <w:rtl w:val="1"/>
        </w:rPr>
        <w:t>المادة (61): عدم المطابقة لا تبطل الحكم تلقائيًا</w:t>
      </w:r>
    </w:p>
    <w:p>
      <w:pPr>
        <w:spacing w:after="100" w:line="283" w:lineRule="auto"/>
        <w:jc w:val="right"/>
        <w:keepNext w:val="0"/>
        <w:bidi w:val="1"/>
      </w:pPr>
      <w:r>
        <w:rPr>
          <w:rFonts w:ascii="Amiri" w:hAnsi="Amiri" w:cs="Amiri" w:eastAsia="Amiri"/>
          <w:b w:val="0"/>
          <w:i w:val="0"/>
          <w:color w:val="1F2933"/>
          <w:sz w:val="24"/>
          <w:rtl w:val="1"/>
        </w:rPr>
        <w:t>قد يقع الخلل في التطبيق أو السلطة أو الحامل أو التنفيذ أو القياس، لا في الحكم نفسه. لذلك تعيد المطابقة الفاشلة المسار إلى موضع الخلل المحدد، ولا تعلن بطلان الأصل بلا تحقيق.</w:t>
      </w:r>
    </w:p>
    <w:p>
      <w:pPr>
        <w:spacing w:before="140" w:after="80"/>
        <w:jc w:val="right"/>
        <w:keepNext/>
        <w:bidi w:val="1"/>
      </w:pPr>
      <w:r>
        <w:rPr>
          <w:rFonts w:ascii="Noto Sans Arabic" w:hAnsi="Noto Sans Arabic" w:cs="Noto Sans Arabic" w:eastAsia="Noto Sans Arabic"/>
          <w:b/>
          <w:i w:val="0"/>
          <w:color w:val="2F6F73"/>
          <w:sz w:val="26"/>
          <w:rtl w:val="1"/>
        </w:rPr>
        <w:t>المادة (62): الحكم البشري النهائي</w:t>
      </w:r>
    </w:p>
    <w:p>
      <w:pPr>
        <w:spacing w:after="100" w:line="283" w:lineRule="auto"/>
        <w:jc w:val="right"/>
        <w:keepNext w:val="0"/>
        <w:bidi w:val="1"/>
      </w:pPr>
      <w:r>
        <w:rPr>
          <w:rFonts w:ascii="Amiri" w:hAnsi="Amiri" w:cs="Amiri" w:eastAsia="Amiri"/>
          <w:b w:val="0"/>
          <w:i w:val="0"/>
          <w:color w:val="1F2933"/>
          <w:sz w:val="24"/>
          <w:rtl w:val="1"/>
        </w:rPr>
        <w:t>في المجالات التي تتطلب مسؤولية بشرية قانونية أو شرعية أو مؤسسية، تبقى النتيجة الآلية توصية أو ترخيصًا تقنيًا بحسب النظام، ولا تحل محل صاحب السلطة ما لم يوجد نص قانوني وصلاحية صريحة.</w:t>
      </w:r>
    </w:p>
    <w:p>
      <w:pPr>
        <w:pStyle w:val="Heading1"/>
        <w:pageBreakBefore/>
        <w:jc w:val="right"/>
        <w:bidi w:val="1"/>
      </w:pPr>
      <w:r>
        <w:rPr>
          <w:rFonts w:ascii="Noto Sans Arabic" w:hAnsi="Noto Sans Arabic" w:cs="Noto Sans Arabic" w:eastAsia="Noto Sans Arabic"/>
          <w:b/>
          <w:i w:val="0"/>
          <w:color w:val="16324F"/>
          <w:sz w:val="36"/>
          <w:rtl w:val="1"/>
        </w:rPr>
        <w:t>الباب السابع — الأثر المحفوظ، البقايا، المراجعة، والإصلاح</w:t>
      </w:r>
    </w:p>
    <w:p>
      <w:pPr>
        <w:spacing w:before="140" w:after="80"/>
        <w:jc w:val="right"/>
        <w:keepNext/>
        <w:bidi w:val="1"/>
      </w:pPr>
      <w:r>
        <w:rPr>
          <w:rFonts w:ascii="Noto Sans Arabic" w:hAnsi="Noto Sans Arabic" w:cs="Noto Sans Arabic" w:eastAsia="Noto Sans Arabic"/>
          <w:b/>
          <w:i w:val="0"/>
          <w:color w:val="2F6F73"/>
          <w:sz w:val="26"/>
          <w:rtl w:val="1"/>
        </w:rPr>
        <w:t>المادة (63): الأثر الاستدلالي المحفوظ</w:t>
      </w:r>
    </w:p>
    <w:p>
      <w:pPr>
        <w:spacing w:after="100" w:line="283" w:lineRule="auto"/>
        <w:jc w:val="right"/>
        <w:keepNext w:val="0"/>
        <w:bidi w:val="1"/>
      </w:pPr>
      <w:r>
        <w:rPr>
          <w:rFonts w:ascii="Amiri" w:hAnsi="Amiri" w:cs="Amiri" w:eastAsia="Amiri"/>
          <w:b w:val="0"/>
          <w:i w:val="0"/>
          <w:color w:val="1F2933"/>
          <w:sz w:val="24"/>
          <w:rtl w:val="1"/>
        </w:rPr>
        <w:t>كل انتقال ينتج TransitionTrace يثبت من أين بدأ، وإلى أين انتهى، وما التحويل والدليل والشرط والمانع والقادح والرتبة والبقايا والإصدار الذي شارك فيه.</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TransitionTrace = {</w:t>
            </w:r>
            <w:r>
              <w:br/>
            </w:r>
            <w:r>
              <w:rPr>
                <w:rFonts w:ascii="DejaVu Sans Mono" w:hAnsi="DejaVu Sans Mono" w:cs="DejaVu Sans Mono" w:eastAsia="DejaVu Sans Mono"/>
                <w:b w:val="0"/>
                <w:i w:val="0"/>
                <w:color w:val="24313A"/>
                <w:sz w:val="18"/>
              </w:rPr>
              <w:t xml:space="preserve">  from_layer, to_layer,</w:t>
            </w:r>
            <w:r>
              <w:br/>
            </w:r>
            <w:r>
              <w:rPr>
                <w:rFonts w:ascii="DejaVu Sans Mono" w:hAnsi="DejaVu Sans Mono" w:cs="DejaVu Sans Mono" w:eastAsia="DejaVu Sans Mono"/>
                <w:b w:val="0"/>
                <w:i w:val="0"/>
                <w:color w:val="24313A"/>
                <w:sz w:val="18"/>
              </w:rPr>
              <w:t xml:space="preserve">  input_identity, output_identity,</w:t>
            </w:r>
            <w:r>
              <w:br/>
            </w:r>
            <w:r>
              <w:rPr>
                <w:rFonts w:ascii="DejaVu Sans Mono" w:hAnsi="DejaVu Sans Mono" w:cs="DejaVu Sans Mono" w:eastAsia="DejaVu Sans Mono"/>
                <w:b w:val="0"/>
                <w:i w:val="0"/>
                <w:color w:val="24313A"/>
                <w:sz w:val="18"/>
              </w:rPr>
              <w:t xml:space="preserve">  transformation, evidence_used,</w:t>
            </w:r>
            <w:r>
              <w:br/>
            </w:r>
            <w:r>
              <w:rPr>
                <w:rFonts w:ascii="DejaVu Sans Mono" w:hAnsi="DejaVu Sans Mono" w:cs="DejaVu Sans Mono" w:eastAsia="DejaVu Sans Mono"/>
                <w:b w:val="0"/>
                <w:i w:val="0"/>
                <w:color w:val="24313A"/>
                <w:sz w:val="18"/>
              </w:rPr>
              <w:t xml:space="preserve">  conditions_checked, blockers_checked,</w:t>
            </w:r>
            <w:r>
              <w:br/>
            </w:r>
            <w:r>
              <w:rPr>
                <w:rFonts w:ascii="DejaVu Sans Mono" w:hAnsi="DejaVu Sans Mono" w:cs="DejaVu Sans Mono" w:eastAsia="DejaVu Sans Mono"/>
                <w:b w:val="0"/>
                <w:i w:val="0"/>
                <w:color w:val="24313A"/>
                <w:sz w:val="18"/>
              </w:rPr>
              <w:t xml:space="preserve">  defeaters_checked, rank_before, rank_after,</w:t>
            </w:r>
            <w:r>
              <w:br/>
            </w:r>
            <w:r>
              <w:rPr>
                <w:rFonts w:ascii="DejaVu Sans Mono" w:hAnsi="DejaVu Sans Mono" w:cs="DejaVu Sans Mono" w:eastAsia="DejaVu Sans Mono"/>
                <w:b w:val="0"/>
                <w:i w:val="0"/>
                <w:color w:val="24313A"/>
                <w:sz w:val="18"/>
              </w:rPr>
              <w:t xml:space="preserve">  verdict, residuals,</w:t>
            </w:r>
            <w:r>
              <w:br/>
            </w:r>
            <w:r>
              <w:rPr>
                <w:rFonts w:ascii="DejaVu Sans Mono" w:hAnsi="DejaVu Sans Mono" w:cs="DejaVu Sans Mono" w:eastAsia="DejaVu Sans Mono"/>
                <w:b w:val="0"/>
                <w:i w:val="0"/>
                <w:color w:val="24313A"/>
                <w:sz w:val="18"/>
              </w:rPr>
              <w:t xml:space="preserve">  implementation_version, timestamp</w:t>
            </w:r>
            <w:r>
              <w:br/>
            </w:r>
            <w:r>
              <w:rPr>
                <w:rFonts w:ascii="DejaVu Sans Mono" w:hAnsi="DejaVu Sans Mono" w:cs="DejaVu Sans Mono" w:eastAsia="DejaVu Sans Mono"/>
                <w:b w:val="0"/>
                <w:i w:val="0"/>
                <w:color w:val="24313A"/>
                <w:sz w:val="18"/>
              </w:rPr>
              <w:t>}</w:t>
            </w:r>
          </w:p>
        </w:tc>
      </w:tr>
    </w:tbl>
    <w:p>
      <w:pPr>
        <w:spacing w:after="20"/>
      </w:pPr>
    </w:p>
    <w:p>
      <w:pPr>
        <w:spacing w:before="140" w:after="80"/>
        <w:jc w:val="right"/>
        <w:keepNext/>
        <w:bidi w:val="1"/>
      </w:pPr>
      <w:r>
        <w:rPr>
          <w:rFonts w:ascii="Noto Sans Arabic" w:hAnsi="Noto Sans Arabic" w:cs="Noto Sans Arabic" w:eastAsia="Noto Sans Arabic"/>
          <w:b/>
          <w:i w:val="0"/>
          <w:color w:val="2F6F73"/>
          <w:sz w:val="26"/>
          <w:rtl w:val="1"/>
        </w:rPr>
        <w:t>المادة (64): عدم المحو الصامت</w:t>
      </w:r>
    </w:p>
    <w:p>
      <w:pPr>
        <w:spacing w:after="100" w:line="283" w:lineRule="auto"/>
        <w:jc w:val="right"/>
        <w:keepNext w:val="0"/>
        <w:bidi w:val="1"/>
      </w:pPr>
      <w:r>
        <w:rPr>
          <w:rFonts w:ascii="Amiri" w:hAnsi="Amiri" w:cs="Amiri" w:eastAsia="Amiri"/>
          <w:b w:val="0"/>
          <w:i w:val="0"/>
          <w:color w:val="1F2933"/>
          <w:sz w:val="24"/>
          <w:rtl w:val="1"/>
        </w:rPr>
        <w:t>لا يجوز حذف أثر سابق أو استبداله بلا سجل. والتصحيح ينشئ نسخة لاحقة تشير إلى السابقة، ويحفظ سبب التغيير ومن قام به ومتى وما أثره في الرتبة والنتيجة.</w:t>
      </w:r>
    </w:p>
    <w:p>
      <w:pPr>
        <w:spacing w:before="140" w:after="80"/>
        <w:jc w:val="right"/>
        <w:keepNext/>
        <w:bidi w:val="1"/>
      </w:pPr>
      <w:r>
        <w:rPr>
          <w:rFonts w:ascii="Noto Sans Arabic" w:hAnsi="Noto Sans Arabic" w:cs="Noto Sans Arabic" w:eastAsia="Noto Sans Arabic"/>
          <w:b/>
          <w:i w:val="0"/>
          <w:color w:val="2F6F73"/>
          <w:sz w:val="26"/>
          <w:rtl w:val="1"/>
        </w:rPr>
        <w:t>المادة (65): تصنيف البقايا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MISSING_EVIDENCE: دليل لازم غير متوافر.</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DOMAIN_UNDECLARED: المجال غير معين.</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CONTEXT_REQUIRED: السياق غير كاف.</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CARRIER_UNVERIFIED: الحامل غير موثوق أو غير معلوم.</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AMBIGUOUS_RELATION: العلاقة متعددة المرشحين.</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ACTIVE_BLOCKER: مانع قائم.</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DEFEATER_PRESENT: قادح مؤثر.</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OUT_OF_SCOPE: خارج ملكية الطبقة أو العقد.</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UNOBSERVABLE_EFFECT: الأثر غير قابل للرصد حاليًا.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IMPLEMENTATION_GAP: العقد مقرر لكن التنفيذ غير موجود.</w:t>
      </w:r>
    </w:p>
    <w:p>
      <w:pPr>
        <w:spacing w:before="140" w:after="80"/>
        <w:jc w:val="right"/>
        <w:keepNext/>
        <w:bidi w:val="1"/>
      </w:pPr>
      <w:r>
        <w:rPr>
          <w:rFonts w:ascii="Noto Sans Arabic" w:hAnsi="Noto Sans Arabic" w:cs="Noto Sans Arabic" w:eastAsia="Noto Sans Arabic"/>
          <w:b/>
          <w:i w:val="0"/>
          <w:color w:val="2F6F73"/>
          <w:sz w:val="26"/>
          <w:rtl w:val="1"/>
        </w:rPr>
        <w:t>المادة (66): توجيه الإصلاح</w:t>
      </w:r>
    </w:p>
    <w:p>
      <w:pPr>
        <w:spacing w:after="100" w:line="283" w:lineRule="auto"/>
        <w:jc w:val="right"/>
        <w:keepNext w:val="0"/>
        <w:bidi w:val="1"/>
      </w:pPr>
      <w:r>
        <w:rPr>
          <w:rFonts w:ascii="Amiri" w:hAnsi="Amiri" w:cs="Amiri" w:eastAsia="Amiri"/>
          <w:b w:val="0"/>
          <w:i w:val="0"/>
          <w:color w:val="1F2933"/>
          <w:sz w:val="24"/>
          <w:rtl w:val="1"/>
        </w:rPr>
        <w:t>كل Deferred أو FASID أو Blocked قابل للمعالجة يجب أن يصدر RepairDirective يحدد طبقة الفشل، والبوابة، والعودة المطلوبة، والدليل أو الشرط المفقود، والمانع أو القادح، ونطاق إعادة الاختبار.</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RepairDirective = {</w:t>
            </w:r>
            <w:r>
              <w:br/>
            </w:r>
            <w:r>
              <w:rPr>
                <w:rFonts w:ascii="DejaVu Sans Mono" w:hAnsi="DejaVu Sans Mono" w:cs="DejaVu Sans Mono" w:eastAsia="DejaVu Sans Mono"/>
                <w:b w:val="0"/>
                <w:i w:val="0"/>
                <w:color w:val="24313A"/>
                <w:sz w:val="18"/>
              </w:rPr>
              <w:t xml:space="preserve">  failure_layer, return_to_layer,</w:t>
            </w:r>
            <w:r>
              <w:br/>
            </w:r>
            <w:r>
              <w:rPr>
                <w:rFonts w:ascii="DejaVu Sans Mono" w:hAnsi="DejaVu Sans Mono" w:cs="DejaVu Sans Mono" w:eastAsia="DejaVu Sans Mono"/>
                <w:b w:val="0"/>
                <w:i w:val="0"/>
                <w:color w:val="24313A"/>
                <w:sz w:val="18"/>
              </w:rPr>
              <w:t xml:space="preserve">  failed_gate, missing_condition,</w:t>
            </w:r>
            <w:r>
              <w:br/>
            </w:r>
            <w:r>
              <w:rPr>
                <w:rFonts w:ascii="DejaVu Sans Mono" w:hAnsi="DejaVu Sans Mono" w:cs="DejaVu Sans Mono" w:eastAsia="DejaVu Sans Mono"/>
                <w:b w:val="0"/>
                <w:i w:val="0"/>
                <w:color w:val="24313A"/>
                <w:sz w:val="18"/>
              </w:rPr>
              <w:t xml:space="preserve">  missing_evidence, active_blocker,</w:t>
            </w:r>
            <w:r>
              <w:br/>
            </w:r>
            <w:r>
              <w:rPr>
                <w:rFonts w:ascii="DejaVu Sans Mono" w:hAnsi="DejaVu Sans Mono" w:cs="DejaVu Sans Mono" w:eastAsia="DejaVu Sans Mono"/>
                <w:b w:val="0"/>
                <w:i w:val="0"/>
                <w:color w:val="24313A"/>
                <w:sz w:val="18"/>
              </w:rPr>
              <w:t xml:space="preserve">  challenged_cause, required_correction,</w:t>
            </w:r>
            <w:r>
              <w:br/>
            </w:r>
            <w:r>
              <w:rPr>
                <w:rFonts w:ascii="DejaVu Sans Mono" w:hAnsi="DejaVu Sans Mono" w:cs="DejaVu Sans Mono" w:eastAsia="DejaVu Sans Mono"/>
                <w:b w:val="0"/>
                <w:i w:val="0"/>
                <w:color w:val="24313A"/>
                <w:sz w:val="18"/>
              </w:rPr>
              <w:t xml:space="preserve">  retry_from, retry_scope</w:t>
            </w:r>
            <w:r>
              <w:br/>
            </w:r>
            <w:r>
              <w:rPr>
                <w:rFonts w:ascii="DejaVu Sans Mono" w:hAnsi="DejaVu Sans Mono" w:cs="DejaVu Sans Mono" w:eastAsia="DejaVu Sans Mono"/>
                <w:b w:val="0"/>
                <w:i w:val="0"/>
                <w:color w:val="24313A"/>
                <w:sz w:val="18"/>
              </w:rPr>
              <w:t>}</w:t>
            </w:r>
          </w:p>
        </w:tc>
      </w:tr>
    </w:tbl>
    <w:p>
      <w:pPr>
        <w:spacing w:after="20"/>
      </w:pPr>
    </w:p>
    <w:p>
      <w:pPr>
        <w:spacing w:before="140" w:after="80"/>
        <w:jc w:val="right"/>
        <w:keepNext/>
        <w:bidi w:val="1"/>
      </w:pPr>
      <w:r>
        <w:rPr>
          <w:rFonts w:ascii="Noto Sans Arabic" w:hAnsi="Noto Sans Arabic" w:cs="Noto Sans Arabic" w:eastAsia="Noto Sans Arabic"/>
          <w:b/>
          <w:i w:val="0"/>
          <w:color w:val="2F6F73"/>
          <w:sz w:val="26"/>
          <w:rtl w:val="1"/>
        </w:rPr>
        <w:t>المادة (67): مسار الرجوع</w:t>
      </w:r>
    </w:p>
    <w:p>
      <w:pPr>
        <w:spacing w:after="100" w:line="283" w:lineRule="auto"/>
        <w:jc w:val="right"/>
        <w:keepNext w:val="0"/>
        <w:bidi w:val="1"/>
      </w:pPr>
      <w:r>
        <w:rPr>
          <w:rFonts w:ascii="Amiri" w:hAnsi="Amiri" w:cs="Amiri" w:eastAsia="Amiri"/>
          <w:b w:val="0"/>
          <w:i w:val="0"/>
          <w:color w:val="1F2933"/>
          <w:sz w:val="24"/>
          <w:rtl w:val="1"/>
        </w:rPr>
        <w:t>الرجوع ليس دائمًا إلى الطبقة السابقة حسابيًا؛ بل إلى أقرب طبقة تملك سبب الفشل. فإذا كان الخلل في الحامل رجع إلى منشأ الادعاء، وإذا كان في العلة رجع إلى عقد العلة، وإذا كان في التطبيق لم يهدم المفهوم أو الحكم بلا دليل.</w:t>
      </w:r>
    </w:p>
    <w:p>
      <w:pPr>
        <w:spacing w:before="140" w:after="80"/>
        <w:jc w:val="right"/>
        <w:keepNext/>
        <w:bidi w:val="1"/>
      </w:pPr>
      <w:r>
        <w:rPr>
          <w:rFonts w:ascii="Noto Sans Arabic" w:hAnsi="Noto Sans Arabic" w:cs="Noto Sans Arabic" w:eastAsia="Noto Sans Arabic"/>
          <w:b/>
          <w:i w:val="0"/>
          <w:color w:val="2F6F73"/>
          <w:sz w:val="26"/>
          <w:rtl w:val="1"/>
        </w:rPr>
        <w:t>المادة (68): إعادة التقييم المحدودة</w:t>
      </w:r>
    </w:p>
    <w:p>
      <w:pPr>
        <w:spacing w:after="100" w:line="283" w:lineRule="auto"/>
        <w:jc w:val="right"/>
        <w:keepNext w:val="0"/>
        <w:bidi w:val="1"/>
      </w:pPr>
      <w:r>
        <w:rPr>
          <w:rFonts w:ascii="Amiri" w:hAnsi="Amiri" w:cs="Amiri" w:eastAsia="Amiri"/>
          <w:b w:val="0"/>
          <w:i w:val="0"/>
          <w:color w:val="1F2933"/>
          <w:sz w:val="24"/>
          <w:rtl w:val="1"/>
        </w:rPr>
        <w:t>يجب أن يعاد تشغيل أقل نطاق لازم بعد الإصلاح، مع ضمان إعادة كل الطبقات التابعة التي تأثرت. ولا يعاد استخدام مخرجات مخبأة إذا تغيرت مقدمة تدخل في هويتها أو رتبتها.</w:t>
      </w:r>
    </w:p>
    <w:p>
      <w:pPr>
        <w:spacing w:before="140" w:after="80"/>
        <w:jc w:val="right"/>
        <w:keepNext/>
        <w:bidi w:val="1"/>
      </w:pPr>
      <w:r>
        <w:rPr>
          <w:rFonts w:ascii="Noto Sans Arabic" w:hAnsi="Noto Sans Arabic" w:cs="Noto Sans Arabic" w:eastAsia="Noto Sans Arabic"/>
          <w:b/>
          <w:i w:val="0"/>
          <w:color w:val="2F6F73"/>
          <w:sz w:val="26"/>
          <w:rtl w:val="1"/>
        </w:rPr>
        <w:t>المادة (69): المراجعة البشرية والآلية</w:t>
      </w:r>
    </w:p>
    <w:p>
      <w:pPr>
        <w:spacing w:after="100" w:line="283" w:lineRule="auto"/>
        <w:jc w:val="right"/>
        <w:keepNext w:val="0"/>
        <w:bidi w:val="1"/>
      </w:pPr>
      <w:r>
        <w:rPr>
          <w:rFonts w:ascii="Amiri" w:hAnsi="Amiri" w:cs="Amiri" w:eastAsia="Amiri"/>
          <w:b w:val="0"/>
          <w:i w:val="0"/>
          <w:color w:val="1F2933"/>
          <w:sz w:val="24"/>
          <w:rtl w:val="1"/>
        </w:rPr>
        <w:t>يجب أن يدعم الأثر مراجعة آلية لاختبارات الثوابت، ومراجعة بشرية للمقدمات والتفسير. وتظهر للمراجع الأدلة والبقايا والبوابات، لا النتيجة النهائية وحدها.</w:t>
      </w:r>
    </w:p>
    <w:p>
      <w:pPr>
        <w:spacing w:before="140" w:after="80"/>
        <w:jc w:val="right"/>
        <w:keepNext/>
        <w:bidi w:val="1"/>
      </w:pPr>
      <w:r>
        <w:rPr>
          <w:rFonts w:ascii="Noto Sans Arabic" w:hAnsi="Noto Sans Arabic" w:cs="Noto Sans Arabic" w:eastAsia="Noto Sans Arabic"/>
          <w:b/>
          <w:i w:val="0"/>
          <w:color w:val="2F6F73"/>
          <w:sz w:val="26"/>
          <w:rtl w:val="1"/>
        </w:rPr>
        <w:t>المادة (70): قابلية الإعادة</w:t>
      </w:r>
    </w:p>
    <w:p>
      <w:pPr>
        <w:spacing w:after="100" w:line="283" w:lineRule="auto"/>
        <w:jc w:val="right"/>
        <w:keepNext w:val="0"/>
        <w:bidi w:val="1"/>
      </w:pPr>
      <w:r>
        <w:rPr>
          <w:rFonts w:ascii="Amiri" w:hAnsi="Amiri" w:cs="Amiri" w:eastAsia="Amiri"/>
          <w:b w:val="0"/>
          <w:i w:val="0"/>
          <w:color w:val="1F2933"/>
          <w:sz w:val="24"/>
          <w:rtl w:val="1"/>
        </w:rPr>
        <w:t>كل نتيجة كنسية يجب أن تكون قابلة للإعادة ضمن نسخة تنفيذ وكتالوجات ومعطيات معلومة. وإذا تعذر ذلك، سجل REPRODUCIBILITY_GAP ومنع الادعاء بالثبات.</w:t>
      </w:r>
    </w:p>
    <w:p>
      <w:pPr>
        <w:pStyle w:val="Heading1"/>
        <w:pageBreakBefore/>
        <w:jc w:val="right"/>
        <w:bidi w:val="1"/>
      </w:pPr>
      <w:r>
        <w:rPr>
          <w:rFonts w:ascii="Noto Sans Arabic" w:hAnsi="Noto Sans Arabic" w:cs="Noto Sans Arabic" w:eastAsia="Noto Sans Arabic"/>
          <w:b/>
          <w:i w:val="0"/>
          <w:color w:val="16324F"/>
          <w:sz w:val="36"/>
          <w:rtl w:val="1"/>
        </w:rPr>
        <w:t>الباب الثامن — العقود الكنسية والصياغة الجبرية للانتقال</w:t>
      </w:r>
    </w:p>
    <w:p>
      <w:pPr>
        <w:spacing w:before="140" w:after="80"/>
        <w:jc w:val="right"/>
        <w:keepNext/>
        <w:bidi w:val="1"/>
      </w:pPr>
      <w:r>
        <w:rPr>
          <w:rFonts w:ascii="Noto Sans Arabic" w:hAnsi="Noto Sans Arabic" w:cs="Noto Sans Arabic" w:eastAsia="Noto Sans Arabic"/>
          <w:b/>
          <w:i w:val="0"/>
          <w:color w:val="2F6F73"/>
          <w:sz w:val="26"/>
          <w:rtl w:val="1"/>
        </w:rPr>
        <w:t>المادة (71): حالة الادعاء المركبة</w:t>
      </w:r>
    </w:p>
    <w:p>
      <w:pPr>
        <w:spacing w:after="100" w:line="283" w:lineRule="auto"/>
        <w:jc w:val="right"/>
        <w:keepNext w:val="0"/>
        <w:bidi w:val="1"/>
      </w:pPr>
      <w:r>
        <w:rPr>
          <w:rFonts w:ascii="Amiri" w:hAnsi="Amiri" w:cs="Amiri" w:eastAsia="Amiri"/>
          <w:b w:val="0"/>
          <w:i w:val="0"/>
          <w:color w:val="1F2933"/>
          <w:sz w:val="24"/>
          <w:rtl w:val="1"/>
        </w:rPr>
        <w:t>يمثل الادعاء في أي موضع كحالة مركبة لا كسلسلة نصية عارية. والحد الأدنى للحالة هو الهوية، والمجال، والنوع، والأدلة، والرتبة، والشروط، والموانع، والقوادح، والحكم، والبقايا، والأثر.</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S = ⟨I, D, K, E, R, C, M, Q, V, B, T⟩</w:t>
            </w:r>
          </w:p>
        </w:tc>
      </w:tr>
    </w:tbl>
    <w:p>
      <w:pPr>
        <w:spacing w:after="20"/>
      </w:pP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3175"/>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الرمز</w:t>
            </w:r>
          </w:p>
        </w:tc>
        <w:tc>
          <w:tcPr>
            <w:tcW w:type="dxa" w:w="3175"/>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المكوّن</w:t>
            </w:r>
          </w:p>
        </w:tc>
        <w:tc>
          <w:tcPr>
            <w:tcW w:type="dxa" w:w="3175"/>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الدلالة</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I</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Identity</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هوية الادعاء ومصدره ومحلّه</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D</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Domain</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المجال ونوع الواقع</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K</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ClaimKind</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نوع الادعاء وملكية معالجته</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E</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Evidence</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الأدلة وسلسلة نسبها</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R</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Rank</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رتبة الدليل أو النتيجة</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C</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Conditions</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الشروط المطلوبة والمتحققة</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M</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Blockers</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الموانع النشطة والمحتملة</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Q</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Defeaters</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القوادح والاعتراضات</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V</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Verdict</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الصحة أو الفساد أو البطلان أو عدم التعيين</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B</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Residuals</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البقايا غير المحسومة</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T</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Trace</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20"/>
                <w:rtl w:val="1"/>
              </w:rPr>
              <w:t>الأثر الاستدلالي المحفوظ</w:t>
            </w:r>
          </w:p>
        </w:tc>
      </w:tr>
    </w:tbl>
    <w:p>
      <w:pPr>
        <w:spacing w:after="40"/>
      </w:pPr>
    </w:p>
    <w:p>
      <w:pPr>
        <w:spacing w:before="140" w:after="80"/>
        <w:jc w:val="right"/>
        <w:keepNext/>
        <w:bidi w:val="1"/>
      </w:pPr>
      <w:r>
        <w:rPr>
          <w:rFonts w:ascii="Noto Sans Arabic" w:hAnsi="Noto Sans Arabic" w:cs="Noto Sans Arabic" w:eastAsia="Noto Sans Arabic"/>
          <w:b/>
          <w:i w:val="0"/>
          <w:color w:val="2F6F73"/>
          <w:sz w:val="26"/>
          <w:rtl w:val="1"/>
        </w:rPr>
        <w:t>المادة (72): دالة ترخيص الانتقال</w:t>
      </w:r>
    </w:p>
    <w:p>
      <w:pPr>
        <w:spacing w:after="100" w:line="283" w:lineRule="auto"/>
        <w:jc w:val="right"/>
        <w:keepNext w:val="0"/>
        <w:bidi w:val="1"/>
      </w:pPr>
      <w:r>
        <w:rPr>
          <w:rFonts w:ascii="Amiri" w:hAnsi="Amiri" w:cs="Amiri" w:eastAsia="Amiri"/>
          <w:b w:val="0"/>
          <w:i w:val="0"/>
          <w:color w:val="1F2933"/>
          <w:sz w:val="24"/>
          <w:rtl w:val="1"/>
        </w:rPr>
        <w:t>يكون الانتقال τ من الحالة Sᵢ إلى Sⱼ مرخصًا فقط إذا تحققت جميع البوابات اللازمة لنوع الانتقال. ولا يجوز اعتبار غياب فحص البوابة تحققًا لها.</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Licensed(τ) ⇔</w:t>
            </w:r>
            <w:r>
              <w:br/>
            </w:r>
            <w:r>
              <w:rPr>
                <w:rFonts w:ascii="DejaVu Sans Mono" w:hAnsi="DejaVu Sans Mono" w:cs="DejaVu Sans Mono" w:eastAsia="DejaVu Sans Mono"/>
                <w:b w:val="0"/>
                <w:i w:val="0"/>
                <w:color w:val="24313A"/>
                <w:sz w:val="18"/>
              </w:rPr>
              <w:t>IdentityPreserved ∧ DomainDeclared ∧ EvidenceAdmissible ∧</w:t>
            </w:r>
            <w:r>
              <w:br/>
            </w:r>
            <w:r>
              <w:rPr>
                <w:rFonts w:ascii="DejaVu Sans Mono" w:hAnsi="DejaVu Sans Mono" w:cs="DejaVu Sans Mono" w:eastAsia="DejaVu Sans Mono"/>
                <w:b w:val="0"/>
                <w:i w:val="0"/>
                <w:color w:val="24313A"/>
                <w:sz w:val="18"/>
              </w:rPr>
              <w:t>RequiredConditionsSatisfied ∧ ¬ActiveBlocker ∧ ¬EffectiveDefeater ∧</w:t>
            </w:r>
            <w:r>
              <w:br/>
            </w:r>
            <w:r>
              <w:rPr>
                <w:rFonts w:ascii="DejaVu Sans Mono" w:hAnsi="DejaVu Sans Mono" w:cs="DejaVu Sans Mono" w:eastAsia="DejaVu Sans Mono"/>
                <w:b w:val="0"/>
                <w:i w:val="0"/>
                <w:color w:val="24313A"/>
                <w:sz w:val="18"/>
              </w:rPr>
              <w:t>RankMonotone ∧ ResidualsDeclared ∧ TracePreserved ∧ NoSkip</w:t>
            </w:r>
          </w:p>
        </w:tc>
      </w:tr>
    </w:tbl>
    <w:p>
      <w:pPr>
        <w:spacing w:after="20"/>
      </w:pPr>
    </w:p>
    <w:p>
      <w:pPr>
        <w:spacing w:before="140" w:after="80"/>
        <w:jc w:val="right"/>
        <w:keepNext/>
        <w:bidi w:val="1"/>
      </w:pPr>
      <w:r>
        <w:rPr>
          <w:rFonts w:ascii="Noto Sans Arabic" w:hAnsi="Noto Sans Arabic" w:cs="Noto Sans Arabic" w:eastAsia="Noto Sans Arabic"/>
          <w:b/>
          <w:i w:val="0"/>
          <w:color w:val="2F6F73"/>
          <w:sz w:val="26"/>
          <w:rtl w:val="1"/>
        </w:rPr>
        <w:t>المادة (73): الجبر الجزئي للانتقالات</w:t>
      </w:r>
    </w:p>
    <w:p>
      <w:pPr>
        <w:spacing w:after="100" w:line="283" w:lineRule="auto"/>
        <w:jc w:val="right"/>
        <w:keepNext w:val="0"/>
        <w:bidi w:val="1"/>
      </w:pPr>
      <w:r>
        <w:rPr>
          <w:rFonts w:ascii="Amiri" w:hAnsi="Amiri" w:cs="Amiri" w:eastAsia="Amiri"/>
          <w:b w:val="0"/>
          <w:i w:val="0"/>
          <w:color w:val="1F2933"/>
          <w:sz w:val="24"/>
          <w:rtl w:val="1"/>
        </w:rPr>
        <w:t>الانتقالات ليست دالة كلية؛ فقد لا تكون معرفة على بعض الحالات. فإذا لم تتحقق مقدمات الانتقال، لا يُنتج النظام قيمة مصطنعة، بل يصدر Deferred أو Blocked أو Residual مع سبب.</w:t>
      </w:r>
    </w:p>
    <w:p>
      <w:pPr>
        <w:spacing w:before="140" w:after="80"/>
        <w:jc w:val="right"/>
        <w:keepNext/>
        <w:bidi w:val="1"/>
      </w:pPr>
      <w:r>
        <w:rPr>
          <w:rFonts w:ascii="Noto Sans Arabic" w:hAnsi="Noto Sans Arabic" w:cs="Noto Sans Arabic" w:eastAsia="Noto Sans Arabic"/>
          <w:b/>
          <w:i w:val="0"/>
          <w:color w:val="2F6F73"/>
          <w:sz w:val="26"/>
          <w:rtl w:val="1"/>
        </w:rPr>
        <w:t>المادة (74): حفظ الهوية تحت التحويل</w:t>
      </w:r>
    </w:p>
    <w:p>
      <w:pPr>
        <w:spacing w:after="100" w:line="283" w:lineRule="auto"/>
        <w:jc w:val="right"/>
        <w:keepNext w:val="0"/>
        <w:bidi w:val="1"/>
      </w:pPr>
      <w:r>
        <w:rPr>
          <w:rFonts w:ascii="Amiri" w:hAnsi="Amiri" w:cs="Amiri" w:eastAsia="Amiri"/>
          <w:b w:val="0"/>
          <w:i w:val="0"/>
          <w:color w:val="1F2933"/>
          <w:sz w:val="24"/>
          <w:rtl w:val="1"/>
        </w:rPr>
        <w:t>كل تحويل يجب أن يعلن ما الذي حفظه وما الذي غيره. وإذا تغيرت الخاصية التي يقوم عليها تعريف الهوية في المجال، وجب إنشاء هوية جديدة مرتبطة بالأصل بعلاقة اشتقاق، لا الادعاء بأنها الشيء نفسه.</w:t>
      </w:r>
    </w:p>
    <w:p>
      <w:pPr>
        <w:spacing w:before="140" w:after="80"/>
        <w:jc w:val="right"/>
        <w:keepNext/>
        <w:bidi w:val="1"/>
      </w:pPr>
      <w:r>
        <w:rPr>
          <w:rFonts w:ascii="Noto Sans Arabic" w:hAnsi="Noto Sans Arabic" w:cs="Noto Sans Arabic" w:eastAsia="Noto Sans Arabic"/>
          <w:b/>
          <w:i w:val="0"/>
          <w:color w:val="2F6F73"/>
          <w:sz w:val="26"/>
          <w:rtl w:val="1"/>
        </w:rPr>
        <w:t>المادة (75): تركيب الانتقالات</w:t>
      </w:r>
    </w:p>
    <w:p>
      <w:pPr>
        <w:spacing w:after="100" w:line="283" w:lineRule="auto"/>
        <w:jc w:val="right"/>
        <w:keepNext w:val="0"/>
        <w:bidi w:val="1"/>
      </w:pPr>
      <w:r>
        <w:rPr>
          <w:rFonts w:ascii="Amiri" w:hAnsi="Amiri" w:cs="Amiri" w:eastAsia="Amiri"/>
          <w:b w:val="0"/>
          <w:i w:val="0"/>
          <w:color w:val="1F2933"/>
          <w:sz w:val="24"/>
          <w:rtl w:val="1"/>
        </w:rPr>
        <w:t>يجوز تركيب τ₂ بعد τ₁ إذا كان مخرج الأولى يحقق عقد مدخل الثانية، وكانت جميع آثار الأولى وبقاياها قابلة للوراثة. وإذا أسقطت الثانية حقلًا دستوريًا، كان التركيب غير مشروع.</w:t>
      </w:r>
    </w:p>
    <w:tbl>
      <w:tblPr>
        <w:tblW w:type="auto" w:w="0"/>
        <w:jc w:val="center"/>
        <w:tblLayout w:type="autofit"/>
        <w:tblLook w:firstColumn="1" w:firstRow="1" w:lastColumn="0" w:lastRow="0" w:noHBand="0" w:noVBand="1" w:val="04A0"/>
      </w:tblPr>
      <w:tblGrid>
        <w:gridCol w:w="9524"/>
      </w:tblGrid>
      <w:tr>
        <w:trPr>
          <w:cantSplit/>
        </w:trPr>
        <w:tc>
          <w:tcPr>
            <w:tcW w:type="dxa" w:w="9524"/>
            <w:shd w:fill="F2F4F5"/>
            <w:tcMar>
              <w:top w:w="120" w:type="dxa"/>
              <w:start w:w="160" w:type="dxa"/>
              <w:bottom w:w="120" w:type="dxa"/>
              <w:end w:w="160" w:type="dxa"/>
            </w:tcMar>
          </w:tcPr>
          <w:p>
            <w:pPr>
              <w:jc w:val="left"/>
              <w:bidi w:val="0"/>
            </w:pPr>
            <w:r>
              <w:rPr>
                <w:rFonts w:ascii="DejaVu Sans Mono" w:hAnsi="DejaVu Sans Mono" w:cs="DejaVu Sans Mono" w:eastAsia="DejaVu Sans Mono"/>
                <w:b w:val="0"/>
                <w:i w:val="0"/>
                <w:color w:val="24313A"/>
                <w:sz w:val="18"/>
              </w:rPr>
              <w:t>τ₂ ∘ τ₁ is admissible only if Codomain(τ₁) ⊆ Domain(τ₂) and ConstitutionalTrace is preserved</w:t>
            </w:r>
          </w:p>
        </w:tc>
      </w:tr>
    </w:tbl>
    <w:p>
      <w:pPr>
        <w:spacing w:after="20"/>
      </w:pPr>
    </w:p>
    <w:p>
      <w:pPr>
        <w:spacing w:before="140" w:after="80"/>
        <w:jc w:val="right"/>
        <w:keepNext/>
        <w:bidi w:val="1"/>
      </w:pPr>
      <w:r>
        <w:rPr>
          <w:rFonts w:ascii="Noto Sans Arabic" w:hAnsi="Noto Sans Arabic" w:cs="Noto Sans Arabic" w:eastAsia="Noto Sans Arabic"/>
          <w:b/>
          <w:i w:val="0"/>
          <w:color w:val="2F6F73"/>
          <w:sz w:val="26"/>
          <w:rtl w:val="1"/>
        </w:rPr>
        <w:t>المادة (76): قانون الامتصاص المحظور</w:t>
      </w:r>
    </w:p>
    <w:p>
      <w:pPr>
        <w:spacing w:after="100" w:line="283" w:lineRule="auto"/>
        <w:jc w:val="right"/>
        <w:keepNext w:val="0"/>
        <w:bidi w:val="1"/>
      </w:pPr>
      <w:r>
        <w:rPr>
          <w:rFonts w:ascii="Amiri" w:hAnsi="Amiri" w:cs="Amiri" w:eastAsia="Amiri"/>
          <w:b w:val="0"/>
          <w:i w:val="0"/>
          <w:color w:val="1F2933"/>
          <w:sz w:val="24"/>
          <w:rtl w:val="1"/>
        </w:rPr>
        <w:t>لا يجوز لطبقة أن تمتص حالات متعددة في قيمة واحدة إذا كان التفريق يؤثر في الحكم؛ فلا تمتص Deferred وBlocked في Failure، ولا صحيح وفاسد في Valid، ولا البقايا في رسالة نصية.</w:t>
      </w:r>
    </w:p>
    <w:p>
      <w:pPr>
        <w:spacing w:before="140" w:after="80"/>
        <w:jc w:val="right"/>
        <w:keepNext/>
        <w:bidi w:val="1"/>
      </w:pPr>
      <w:r>
        <w:rPr>
          <w:rFonts w:ascii="Noto Sans Arabic" w:hAnsi="Noto Sans Arabic" w:cs="Noto Sans Arabic" w:eastAsia="Noto Sans Arabic"/>
          <w:b/>
          <w:i w:val="0"/>
          <w:color w:val="2F6F73"/>
          <w:sz w:val="26"/>
          <w:rtl w:val="1"/>
        </w:rPr>
        <w:t>المادة (77): قانون التجميع</w:t>
      </w:r>
    </w:p>
    <w:p>
      <w:pPr>
        <w:spacing w:after="100" w:line="283" w:lineRule="auto"/>
        <w:jc w:val="right"/>
        <w:keepNext w:val="0"/>
        <w:bidi w:val="1"/>
      </w:pPr>
      <w:r>
        <w:rPr>
          <w:rFonts w:ascii="Amiri" w:hAnsi="Amiri" w:cs="Amiri" w:eastAsia="Amiri"/>
          <w:b w:val="0"/>
          <w:i w:val="0"/>
          <w:color w:val="1F2933"/>
          <w:sz w:val="24"/>
          <w:rtl w:val="1"/>
        </w:rPr>
        <w:t>عند تجميع نتائج الخانات أو الفروع: وجود Deferred في خانة لازمة يجعل الكل Deferred؛ ووجود مانع نشط في مسار لازم يمنع Licensed؛ ولا يجوز للأغلبية العددية أن تتجاوز شرطًا لازمًا.</w:t>
      </w:r>
    </w:p>
    <w:p>
      <w:pPr>
        <w:spacing w:before="140" w:after="80"/>
        <w:jc w:val="right"/>
        <w:keepNext/>
        <w:bidi w:val="1"/>
      </w:pPr>
      <w:r>
        <w:rPr>
          <w:rFonts w:ascii="Noto Sans Arabic" w:hAnsi="Noto Sans Arabic" w:cs="Noto Sans Arabic" w:eastAsia="Noto Sans Arabic"/>
          <w:b/>
          <w:i w:val="0"/>
          <w:color w:val="2F6F73"/>
          <w:sz w:val="26"/>
          <w:rtl w:val="1"/>
        </w:rPr>
        <w:t>المادة (78): العقود الدنيا المطلوبة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ClaimProvenance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ConceptContract</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IfadahCandidate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JudgmentAssessment</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RealityDomain</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DomainBridge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ApplicationAssessment</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AuthorityCheck</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CorrespondenceAssessment</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RepairDirective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TransitionTrace</w:t>
      </w:r>
    </w:p>
    <w:p>
      <w:pPr>
        <w:spacing w:before="140" w:after="80"/>
        <w:jc w:val="right"/>
        <w:keepNext/>
        <w:bidi w:val="1"/>
      </w:pPr>
      <w:r>
        <w:rPr>
          <w:rFonts w:ascii="Noto Sans Arabic" w:hAnsi="Noto Sans Arabic" w:cs="Noto Sans Arabic" w:eastAsia="Noto Sans Arabic"/>
          <w:b/>
          <w:i w:val="0"/>
          <w:color w:val="2F6F73"/>
          <w:sz w:val="26"/>
          <w:rtl w:val="1"/>
        </w:rPr>
        <w:t>المادة (79): عدم إلزام التنفيذ بشكل تخزين معين</w:t>
      </w:r>
    </w:p>
    <w:p>
      <w:pPr>
        <w:spacing w:after="100" w:line="283" w:lineRule="auto"/>
        <w:jc w:val="right"/>
        <w:keepNext w:val="0"/>
        <w:bidi w:val="1"/>
      </w:pPr>
      <w:r>
        <w:rPr>
          <w:rFonts w:ascii="Amiri" w:hAnsi="Amiri" w:cs="Amiri" w:eastAsia="Amiri"/>
          <w:b w:val="0"/>
          <w:i w:val="0"/>
          <w:color w:val="1F2933"/>
          <w:sz w:val="24"/>
          <w:rtl w:val="1"/>
        </w:rPr>
        <w:t>الأسماء والحقول السابقة معايير دلالية دنيا. يجوز تمثيلها بفئات أو مخططات أو سجلات مختلفة، بشرط الحفاظ على المعنى والتوافق وإمكان التحقق الآلي.</w:t>
      </w:r>
    </w:p>
    <w:p>
      <w:pPr>
        <w:pStyle w:val="Heading1"/>
        <w:pageBreakBefore/>
        <w:jc w:val="right"/>
        <w:bidi w:val="1"/>
      </w:pPr>
      <w:r>
        <w:rPr>
          <w:rFonts w:ascii="Noto Sans Arabic" w:hAnsi="Noto Sans Arabic" w:cs="Noto Sans Arabic" w:eastAsia="Noto Sans Arabic"/>
          <w:b/>
          <w:i w:val="0"/>
          <w:color w:val="16324F"/>
          <w:sz w:val="36"/>
          <w:rtl w:val="1"/>
        </w:rPr>
        <w:t>الباب التاسع — التوافق مع SCG وP0–P12 وحدود HR2S</w:t>
      </w:r>
    </w:p>
    <w:p>
      <w:pPr>
        <w:spacing w:before="140" w:after="80"/>
        <w:jc w:val="right"/>
        <w:keepNext/>
        <w:bidi w:val="1"/>
      </w:pPr>
      <w:r>
        <w:rPr>
          <w:rFonts w:ascii="Noto Sans Arabic" w:hAnsi="Noto Sans Arabic" w:cs="Noto Sans Arabic" w:eastAsia="Noto Sans Arabic"/>
          <w:b/>
          <w:i w:val="0"/>
          <w:color w:val="2F6F73"/>
          <w:sz w:val="26"/>
          <w:rtl w:val="1"/>
        </w:rPr>
        <w:t>المادة (80): عدم إنشاء سجل موازٍ</w:t>
      </w:r>
    </w:p>
    <w:p>
      <w:pPr>
        <w:spacing w:after="100" w:line="283" w:lineRule="auto"/>
        <w:jc w:val="right"/>
        <w:keepNext w:val="0"/>
        <w:bidi w:val="1"/>
      </w:pPr>
      <w:r>
        <w:rPr>
          <w:rFonts w:ascii="Amiri" w:hAnsi="Amiri" w:cs="Amiri" w:eastAsia="Amiri"/>
          <w:b w:val="0"/>
          <w:i w:val="0"/>
          <w:color w:val="1F2933"/>
          <w:sz w:val="24"/>
          <w:rtl w:val="1"/>
        </w:rPr>
        <w:t>مراحل الواقع والأثر والحامل والمفهوم والمطابقة مناطق نظرية، وليست طبقات جديدة ذات أرقام منافسة. ولا توسم IMPLEMENTED إلا إذا ربطها السجل الكنسي الحالي بطبقات أو عقود منفذة.</w:t>
      </w:r>
    </w:p>
    <w:p>
      <w:pPr>
        <w:spacing w:before="140" w:after="80"/>
        <w:jc w:val="right"/>
        <w:keepNext/>
        <w:bidi w:val="1"/>
      </w:pPr>
      <w:r>
        <w:rPr>
          <w:rFonts w:ascii="Noto Sans Arabic" w:hAnsi="Noto Sans Arabic" w:cs="Noto Sans Arabic" w:eastAsia="Noto Sans Arabic"/>
          <w:b/>
          <w:i w:val="0"/>
          <w:color w:val="2F6F73"/>
          <w:sz w:val="26"/>
          <w:rtl w:val="1"/>
        </w:rPr>
        <w:t>المادة (81): ثبات P12</w:t>
      </w:r>
    </w:p>
    <w:p>
      <w:pPr>
        <w:spacing w:after="100" w:line="283" w:lineRule="auto"/>
        <w:jc w:val="right"/>
        <w:keepNext w:val="0"/>
        <w:bidi w:val="1"/>
      </w:pPr>
      <w:r>
        <w:rPr>
          <w:rFonts w:ascii="Amiri" w:hAnsi="Amiri" w:cs="Amiri" w:eastAsia="Amiri"/>
          <w:b w:val="0"/>
          <w:i w:val="0"/>
          <w:color w:val="1F2933"/>
          <w:sz w:val="24"/>
          <w:rtl w:val="1"/>
        </w:rPr>
        <w:t>يبقى P12 نهائيًا في السجل الحالي من نوع IfadahCandidate، لا يفتح P13 ولا ينتج فعلًا أو حكمًا نهائيًا. وإضافة عقود ما بعد الحكم لا تعني فتحها في مسار SCG الحالي.</w:t>
      </w:r>
    </w:p>
    <w:p>
      <w:pPr>
        <w:spacing w:before="140" w:after="80"/>
        <w:jc w:val="right"/>
        <w:keepNext/>
        <w:bidi w:val="1"/>
      </w:pPr>
      <w:r>
        <w:rPr>
          <w:rFonts w:ascii="Noto Sans Arabic" w:hAnsi="Noto Sans Arabic" w:cs="Noto Sans Arabic" w:eastAsia="Noto Sans Arabic"/>
          <w:b/>
          <w:i w:val="0"/>
          <w:color w:val="2F6F73"/>
          <w:sz w:val="26"/>
          <w:rtl w:val="1"/>
        </w:rPr>
        <w:t>المادة (82): حالة التوقف الحالية عند P5</w:t>
      </w:r>
    </w:p>
    <w:p>
      <w:pPr>
        <w:spacing w:after="100" w:line="283" w:lineRule="auto"/>
        <w:jc w:val="right"/>
        <w:keepNext w:val="0"/>
        <w:bidi w:val="1"/>
      </w:pPr>
      <w:r>
        <w:rPr>
          <w:rFonts w:ascii="Amiri" w:hAnsi="Amiri" w:cs="Amiri" w:eastAsia="Amiri"/>
          <w:b w:val="0"/>
          <w:i w:val="0"/>
          <w:color w:val="1F2933"/>
          <w:sz w:val="24"/>
          <w:rtl w:val="1"/>
        </w:rPr>
        <w:t>إذا كان نطاق التنفيذ الجاري متوقفًا عند P5، تنفذ العقود الجديدة بصورة عرضية أو وثائقية أو كواجهات غير مفعلة، ولا يجوز أن تستخدم ذريعة لفتح P6–P12 أو تغيير مسار التشغيل دون قرار مستقل.</w:t>
      </w:r>
    </w:p>
    <w:p>
      <w:pPr>
        <w:spacing w:before="140" w:after="80"/>
        <w:jc w:val="right"/>
        <w:keepNext/>
        <w:bidi w:val="1"/>
      </w:pPr>
      <w:r>
        <w:rPr>
          <w:rFonts w:ascii="Noto Sans Arabic" w:hAnsi="Noto Sans Arabic" w:cs="Noto Sans Arabic" w:eastAsia="Noto Sans Arabic"/>
          <w:b/>
          <w:i w:val="0"/>
          <w:color w:val="2F6F73"/>
          <w:sz w:val="26"/>
          <w:rtl w:val="1"/>
        </w:rPr>
        <w:t>المادة (83): ملكية الصرف</w:t>
      </w:r>
    </w:p>
    <w:p>
      <w:pPr>
        <w:spacing w:after="100" w:line="283" w:lineRule="auto"/>
        <w:jc w:val="right"/>
        <w:keepNext w:val="0"/>
        <w:bidi w:val="1"/>
      </w:pPr>
      <w:r>
        <w:rPr>
          <w:rFonts w:ascii="Amiri" w:hAnsi="Amiri" w:cs="Amiri" w:eastAsia="Amiri"/>
          <w:b w:val="0"/>
          <w:i w:val="0"/>
          <w:color w:val="1F2933"/>
          <w:sz w:val="24"/>
          <w:rtl w:val="1"/>
        </w:rPr>
        <w:t>تبقى مسؤولية استخراج الجذر والوزن والمصدر والمشتقات داخل Hokom. ويمكن الاستفادة من محركات خارجية بوصفها أدلة أو مرشحات، مع منع الازدواج وتعيين المصدر والرتبة.</w:t>
      </w:r>
    </w:p>
    <w:p>
      <w:pPr>
        <w:spacing w:before="140" w:after="80"/>
        <w:jc w:val="right"/>
        <w:keepNext/>
        <w:bidi w:val="1"/>
      </w:pPr>
      <w:r>
        <w:rPr>
          <w:rFonts w:ascii="Noto Sans Arabic" w:hAnsi="Noto Sans Arabic" w:cs="Noto Sans Arabic" w:eastAsia="Noto Sans Arabic"/>
          <w:b/>
          <w:i w:val="0"/>
          <w:color w:val="2F6F73"/>
          <w:sz w:val="26"/>
          <w:rtl w:val="1"/>
        </w:rPr>
        <w:t>المادة (84): التوافق العكسي</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تظل الواجهات الحالية صالحة ما لم يوجد سبب دستوري معلن لكسرها.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تضاف الحقول الجديدة اختيارية أولًا مع قيم افتراضية صريحة Unknown/NotApplicable، لا قيمًا دلالية مزروعة.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يمنع تغيير مخرجات الاختبارات القائمة بلا تقرير يثبت أن الاختبار نفسه كان مخالفًا للدستور.</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تثبت قاعدة Node-ID baseline قبل التغيير وبعده، ويبرر كل حذف أو إعادة تسمية.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تكرر العقود في أكثر من مستودع من غير مالك واحد وواجهات معلنة.</w:t>
      </w:r>
    </w:p>
    <w:p>
      <w:pPr>
        <w:spacing w:before="140" w:after="80"/>
        <w:jc w:val="right"/>
        <w:keepNext/>
        <w:bidi w:val="1"/>
      </w:pPr>
      <w:r>
        <w:rPr>
          <w:rFonts w:ascii="Noto Sans Arabic" w:hAnsi="Noto Sans Arabic" w:cs="Noto Sans Arabic" w:eastAsia="Noto Sans Arabic"/>
          <w:b/>
          <w:i w:val="0"/>
          <w:color w:val="2F6F73"/>
          <w:sz w:val="26"/>
          <w:rtl w:val="1"/>
        </w:rPr>
        <w:t>المادة (85): خطة الهجرة الدستورية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تدقيق الموجود وتحديد ما هو منفذ فعليًا.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رسم خريطة ملكية الملفات والعقود والتدفقات.</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إضافة التعديل الدستوري والمرجعيات دون تغيير السلوك.</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إضافة العقود المشتركة وواجهات التوافق.</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إدخال الأثر والبقايا والإصلاح بصورة تدريجية مع اختبارات.</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تفعيل مناطق جديدة فقط بقرار مستقل ومعايير قبول مكتملة.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إزالة الازدواج بعد إثبات أن المسار الجديد يغطي القديم.</w:t>
      </w:r>
    </w:p>
    <w:p>
      <w:pPr>
        <w:pStyle w:val="Heading1"/>
        <w:pageBreakBefore/>
        <w:jc w:val="right"/>
        <w:bidi w:val="1"/>
      </w:pPr>
      <w:r>
        <w:rPr>
          <w:rFonts w:ascii="Noto Sans Arabic" w:hAnsi="Noto Sans Arabic" w:cs="Noto Sans Arabic" w:eastAsia="Noto Sans Arabic"/>
          <w:b/>
          <w:i w:val="0"/>
          <w:color w:val="16324F"/>
          <w:sz w:val="36"/>
          <w:rtl w:val="1"/>
        </w:rPr>
        <w:t>الباب العاشر — النفاذ، الاختبارات الدستورية، وآلية التعديل</w:t>
      </w:r>
    </w:p>
    <w:p>
      <w:pPr>
        <w:spacing w:before="140" w:after="80"/>
        <w:jc w:val="right"/>
        <w:keepNext/>
        <w:bidi w:val="1"/>
      </w:pPr>
      <w:r>
        <w:rPr>
          <w:rFonts w:ascii="Noto Sans Arabic" w:hAnsi="Noto Sans Arabic" w:cs="Noto Sans Arabic" w:eastAsia="Noto Sans Arabic"/>
          <w:b/>
          <w:i w:val="0"/>
          <w:color w:val="2F6F73"/>
          <w:sz w:val="26"/>
          <w:rtl w:val="1"/>
        </w:rPr>
        <w:t>المادة (86): النفاذ</w:t>
      </w:r>
    </w:p>
    <w:p>
      <w:pPr>
        <w:spacing w:after="100" w:line="283" w:lineRule="auto"/>
        <w:jc w:val="right"/>
        <w:keepNext w:val="0"/>
        <w:bidi w:val="1"/>
      </w:pPr>
      <w:r>
        <w:rPr>
          <w:rFonts w:ascii="Amiri" w:hAnsi="Amiri" w:cs="Amiri" w:eastAsia="Amiri"/>
          <w:b w:val="0"/>
          <w:i w:val="0"/>
          <w:color w:val="1F2933"/>
          <w:sz w:val="24"/>
          <w:rtl w:val="1"/>
        </w:rPr>
        <w:t>ينفذ هذا التعديل دستوريًا بعد اعتماده، وينفذ برمجيًا وفق خطة هجرة وتقارير قبول. ولا يساوي النفاذ الدستوري اكتمال التنفيذ.</w:t>
      </w:r>
    </w:p>
    <w:p>
      <w:pPr>
        <w:spacing w:before="140" w:after="80"/>
        <w:jc w:val="right"/>
        <w:keepNext/>
        <w:bidi w:val="1"/>
      </w:pPr>
      <w:r>
        <w:rPr>
          <w:rFonts w:ascii="Noto Sans Arabic" w:hAnsi="Noto Sans Arabic" w:cs="Noto Sans Arabic" w:eastAsia="Noto Sans Arabic"/>
          <w:b/>
          <w:i w:val="0"/>
          <w:color w:val="2F6F73"/>
          <w:sz w:val="26"/>
          <w:rtl w:val="1"/>
        </w:rPr>
        <w:t>المادة (87): الاختبارات الدستورية الإلزامية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اختبار حفظ الهوية عبر كل انتقال.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اختبار منع القفز بين العقود.</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اختبار عدم رفع الرتبة فوق أضعف مقدمة لازمة.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اختبار أن المانع النشط يمنع Licensed.</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اختبار أن المقدمة اللازمة المفقودة تنتج Deferred لا Batil.</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اختبار انتشار البقايا وعدم إسقاطها.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اختبار اكتمال TransitionTrace.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اختبار منع العبور بين المجالات بلا DomainBridge.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اختبار بقاء P12 من نوع IfadahCandidate ونهائيًا.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اختبار أن HR2S لا يصدر حكمًا مرخصًا.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اختبار بقاء ملكية الجذر والوزن والمصدر والمشتقات في Hokom.</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اختبار الفصل بين intrinsic_verdict وoperational_status.</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اختبار الرجوع إلى موضع الفشل الصحيح.</w:t>
      </w:r>
    </w:p>
    <w:p>
      <w:pPr>
        <w:spacing w:before="140" w:after="80"/>
        <w:jc w:val="right"/>
        <w:keepNext/>
        <w:bidi w:val="1"/>
      </w:pPr>
      <w:r>
        <w:rPr>
          <w:rFonts w:ascii="Noto Sans Arabic" w:hAnsi="Noto Sans Arabic" w:cs="Noto Sans Arabic" w:eastAsia="Noto Sans Arabic"/>
          <w:b/>
          <w:i w:val="0"/>
          <w:color w:val="2F6F73"/>
          <w:sz w:val="26"/>
          <w:rtl w:val="1"/>
        </w:rPr>
        <w:t>المادة (88): معيار القبول</w:t>
      </w:r>
    </w:p>
    <w:p>
      <w:pPr>
        <w:spacing w:after="100" w:line="283" w:lineRule="auto"/>
        <w:jc w:val="right"/>
        <w:keepNext w:val="0"/>
        <w:bidi w:val="1"/>
      </w:pPr>
      <w:r>
        <w:rPr>
          <w:rFonts w:ascii="Amiri" w:hAnsi="Amiri" w:cs="Amiri" w:eastAsia="Amiri"/>
          <w:b w:val="0"/>
          <w:i w:val="0"/>
          <w:color w:val="1F2933"/>
          <w:sz w:val="24"/>
          <w:rtl w:val="1"/>
        </w:rPr>
        <w:t>لا يُقبل التنفيذ إذا نجحت الاختبارات الجديدة مع فشل غير مبرر في الاختبارات القائمة، أو إذا أنشأ مسارًا موازيًا، أو أخفى البقايا، أو زرع أمثلة بعينها، أو غيّر الملكية دون إزالة الازدواج.</w:t>
      </w:r>
    </w:p>
    <w:p>
      <w:pPr>
        <w:spacing w:before="140" w:after="80"/>
        <w:jc w:val="right"/>
        <w:keepNext/>
        <w:bidi w:val="1"/>
      </w:pPr>
      <w:r>
        <w:rPr>
          <w:rFonts w:ascii="Noto Sans Arabic" w:hAnsi="Noto Sans Arabic" w:cs="Noto Sans Arabic" w:eastAsia="Noto Sans Arabic"/>
          <w:b/>
          <w:i w:val="0"/>
          <w:color w:val="2F6F73"/>
          <w:sz w:val="26"/>
          <w:rtl w:val="1"/>
        </w:rPr>
        <w:t>المادة (89): التقرير الإلزامي</w:t>
      </w:r>
    </w:p>
    <w:p>
      <w:pPr>
        <w:spacing w:after="100" w:line="283" w:lineRule="auto"/>
        <w:jc w:val="right"/>
        <w:keepNext w:val="0"/>
        <w:bidi w:val="1"/>
      </w:pPr>
      <w:r>
        <w:rPr>
          <w:rFonts w:ascii="Amiri" w:hAnsi="Amiri" w:cs="Amiri" w:eastAsia="Amiri"/>
          <w:b w:val="0"/>
          <w:i w:val="0"/>
          <w:color w:val="1F2933"/>
          <w:sz w:val="24"/>
          <w:rtl w:val="1"/>
        </w:rPr>
        <w:t>كل تنفيذ لهذا التعديل يجب أن يقدم تقريرًا يبين: ما كان موجودًا، وما أضيف، وما لم ينفذ، والملفات المتغيرة، والعقود، ومسارات البيانات، ونتائج الاختبارات، وأثر التوافق، والبقايا، والقرارات المطلوبة.</w:t>
      </w:r>
    </w:p>
    <w:p>
      <w:pPr>
        <w:spacing w:before="140" w:after="80"/>
        <w:jc w:val="right"/>
        <w:keepNext/>
        <w:bidi w:val="1"/>
      </w:pPr>
      <w:r>
        <w:rPr>
          <w:rFonts w:ascii="Noto Sans Arabic" w:hAnsi="Noto Sans Arabic" w:cs="Noto Sans Arabic" w:eastAsia="Noto Sans Arabic"/>
          <w:b/>
          <w:i w:val="0"/>
          <w:color w:val="2F6F73"/>
          <w:sz w:val="26"/>
          <w:rtl w:val="1"/>
        </w:rPr>
        <w:t>المادة (90): آلية تعديل هذا التعديل</w:t>
      </w:r>
    </w:p>
    <w:p>
      <w:pPr>
        <w:spacing w:after="100" w:line="283" w:lineRule="auto"/>
        <w:jc w:val="right"/>
        <w:keepNext w:val="0"/>
        <w:bidi w:val="1"/>
      </w:pPr>
      <w:r>
        <w:rPr>
          <w:rFonts w:ascii="Amiri" w:hAnsi="Amiri" w:cs="Amiri" w:eastAsia="Amiri"/>
          <w:b w:val="0"/>
          <w:i w:val="0"/>
          <w:color w:val="1F2933"/>
          <w:sz w:val="24"/>
          <w:rtl w:val="1"/>
        </w:rPr>
        <w:t>لا يعدل هذا النص بتغيير ضمني في الكود. كل تعديل يحتاج نصًا صريحًا يبين المادة المتأثرة، والسبب، والأثر في SCG والعقود والاختبارات، وخطة الهجرة.</w:t>
      </w:r>
    </w:p>
    <w:tbl>
      <w:tblPr>
        <w:tblW w:type="auto" w:w="0"/>
        <w:jc w:val="center"/>
        <w:tblLook w:firstColumn="1" w:firstRow="1" w:lastColumn="0" w:lastRow="0" w:noHBand="0" w:noVBand="1" w:val="04A0"/>
      </w:tblPr>
      <w:tblGrid>
        <w:gridCol w:w="9524"/>
      </w:tblGrid>
      <w:tr>
        <w:tc>
          <w:tcPr>
            <w:tcW w:type="dxa" w:w="9524"/>
            <w:shd w:fill="EAF4EF"/>
            <w:tcMar>
              <w:top w:w="150" w:type="dxa"/>
              <w:start w:w="190" w:type="dxa"/>
              <w:bottom w:w="150" w:type="dxa"/>
              <w:end w:w="190" w:type="dxa"/>
            </w:tcMar>
          </w:tcPr>
          <w:p>
            <w:pPr>
              <w:jc w:val="right"/>
              <w:bidi w:val="1"/>
            </w:pPr>
            <w:r>
              <w:rPr>
                <w:rFonts w:ascii="Noto Sans Arabic" w:hAnsi="Noto Sans Arabic" w:cs="Noto Sans Arabic" w:eastAsia="Noto Sans Arabic"/>
                <w:b/>
                <w:i w:val="0"/>
                <w:color w:val="2E6B4F"/>
                <w:sz w:val="25"/>
                <w:rtl w:val="1"/>
              </w:rPr>
              <w:t>خاتمة دستورية</w:t>
            </w:r>
          </w:p>
          <w:p>
            <w:pPr>
              <w:jc w:val="right"/>
              <w:bidi w:val="1"/>
            </w:pPr>
            <w:r>
              <w:rPr>
                <w:rFonts w:ascii="Amiri" w:hAnsi="Amiri" w:cs="Amiri" w:eastAsia="Amiri"/>
                <w:b w:val="0"/>
                <w:i w:val="0"/>
                <w:color w:val="1F2933"/>
                <w:sz w:val="24"/>
                <w:rtl w:val="1"/>
              </w:rPr>
              <w:t>الغاية ليست أن ينتج النظام حكمًا من كل مدخل، بل أن يعرف أين يقف، وما الذي يملكه، وما الذي يجهله، وما الدليل الذي أجاز انتقاله، وما الذي منعه، وكيف يمكن مراجعته وإصلاحه.</w:t>
            </w:r>
          </w:p>
        </w:tc>
      </w:tr>
    </w:tbl>
    <w:p>
      <w:pPr>
        <w:spacing w:after="20"/>
      </w:pPr>
    </w:p>
    <w:p>
      <w:pPr>
        <w:bidi w:val="1"/>
        <w:jc w:val="right"/>
      </w:pPr>
    </w:p>
    <w:p>
      <w:pPr>
        <w:pStyle w:val="Heading1"/>
        <w:bidi w:val="1"/>
        <w:jc w:val="right"/>
      </w:pPr>
      <w:r>
        <w:rPr>
          <w:b w:val="0"/>
          <w:rtl w:val="1"/>
        </w:rPr>
        <w:t>الباب الحادي عشر — سلامة بيئة التنفيذ، حرمة الاختبارات، وصدق الإغلاق</w:t>
      </w:r>
    </w:p>
    <w:p>
      <w:pPr>
        <w:bidi w:val="1"/>
        <w:jc w:val="right"/>
      </w:pPr>
      <w:r>
        <w:rPr>
          <w:b/>
          <w:rtl w:val="1"/>
        </w:rPr>
        <w:t>المادة (91): بيئة التنفيذ جزء من الدليل</w:t>
      </w:r>
    </w:p>
    <w:p>
      <w:pPr>
        <w:bidi w:val="1"/>
        <w:jc w:val="right"/>
      </w:pPr>
      <w:r>
        <w:rPr>
          <w:b w:val="0"/>
          <w:rtl w:val="1"/>
        </w:rPr>
        <w:t>تعد بيئة التنفيذ، وإصدار المفسر، ومسار التشغيل، وحالة التبعيات، ومصدر الحزم، جزءًا من دليل صحة التنفيذ، لا تفصيلًا خارجيًا عنه. ولا يقبل ادعاء نجاح لا يحدد البيئة التي وقع فيها ولا يثبت مطابقتها للبيئة الكنسية المطلوبة.</w:t>
      </w:r>
    </w:p>
    <w:p>
      <w:pPr>
        <w:bidi w:val="1"/>
        <w:jc w:val="right"/>
      </w:pPr>
      <w:r>
        <w:rPr>
          <w:b/>
          <w:rtl w:val="1"/>
        </w:rPr>
        <w:t>المادة (92): قانون التنفيذ الأصلي</w:t>
      </w:r>
    </w:p>
    <w:p>
      <w:pPr>
        <w:bidi w:val="1"/>
        <w:jc w:val="right"/>
      </w:pPr>
      <w:r>
        <w:rPr>
          <w:b w:val="0"/>
          <w:rtl w:val="1"/>
        </w:rPr>
        <w:t>إذا اشترط العقد أو التبعية خاصية أصلية في runtime معين، وجب اختبارها في ذلك runtime نفسه. ولا يجوز إحلال shim أو backport أو monkey patch أو حقن في مكتبة قياسية محل الشرط الأصلي إلا بتعديل دستوري أو قرار توافق صريح يحدد النطاق والمخاطر والانتهاء.</w:t>
      </w:r>
    </w:p>
    <w:p>
      <w:pPr>
        <w:bidi w:val="1"/>
        <w:jc w:val="right"/>
      </w:pPr>
      <w:r>
        <w:rPr>
          <w:b/>
          <w:rtl w:val="1"/>
        </w:rPr>
        <w:t>المادة (93): حرمة المكتبات القياسية</w:t>
      </w:r>
    </w:p>
    <w:p>
      <w:pPr>
        <w:bidi w:val="1"/>
        <w:jc w:val="right"/>
      </w:pPr>
      <w:r>
        <w:rPr>
          <w:b w:val="0"/>
          <w:rtl w:val="1"/>
        </w:rPr>
        <w:t>يحظر تعديل وحدات اللغة القياسية في زمن التشغيل، أو زرع خصائص فيها، أو تغيير sys.modules، أو اعتراض الاستيراد لإظهار خاصية غير موجودة في runtime الفعلي. وكل نتيجة تنشأ من ذلك تعد غير صالحة دليلًا على التفعيل.</w:t>
      </w:r>
    </w:p>
    <w:p>
      <w:pPr>
        <w:bidi w:val="1"/>
        <w:jc w:val="right"/>
      </w:pPr>
      <w:r>
        <w:rPr>
          <w:b/>
          <w:rtl w:val="1"/>
        </w:rPr>
        <w:t>المادة (94): حرمة حزام الاختبار</w:t>
      </w:r>
    </w:p>
    <w:p>
      <w:pPr>
        <w:bidi w:val="1"/>
        <w:jc w:val="right"/>
      </w:pPr>
      <w:r>
        <w:rPr>
          <w:b w:val="0"/>
          <w:rtl w:val="1"/>
        </w:rPr>
        <w:t>ملفات الاختبار، وconftest، وإعدادات collection، وfixtures، ومسارات الاستيراد، جزء من جهاز القياس. لا يجوز تعديلها لإخفاء فشل أو تجاوز قيد runtime أو تصنيع نجاح. وكل تعديل مشروع فيها يجب أن يكون مطلوبًا بذاته، معلنًا، ومختبرًا على أنه لا يغيّر موضوع القياس.</w:t>
      </w:r>
    </w:p>
    <w:p>
      <w:pPr>
        <w:bidi w:val="1"/>
        <w:jc w:val="right"/>
      </w:pPr>
      <w:r>
        <w:rPr>
          <w:b/>
          <w:rtl w:val="1"/>
        </w:rPr>
        <w:t>المادة (95): حدود vendor</w:t>
      </w:r>
    </w:p>
    <w:p>
      <w:pPr>
        <w:bidi w:val="1"/>
        <w:jc w:val="right"/>
      </w:pPr>
      <w:r>
        <w:rPr>
          <w:b w:val="0"/>
          <w:rtl w:val="1"/>
        </w:rPr>
        <w:t>شجرة vendor ومكتبات الطرف الثالث ليست مجالًا لحلول محلية صامتة. لا تعدل إلا بقرار ملكية صريح أو تحديث مصدر موثق. ويحظر إدخال ملفات اختبار أو حقن توافق داخلها بقصد تمرير تنفيذ تابع في المشروع المضيف.</w:t>
      </w:r>
    </w:p>
    <w:p>
      <w:pPr>
        <w:bidi w:val="1"/>
        <w:jc w:val="right"/>
      </w:pPr>
      <w:r>
        <w:rPr>
          <w:b/>
          <w:rtl w:val="1"/>
        </w:rPr>
        <w:t>المادة (96): صدق تسمية البيئة</w:t>
      </w:r>
    </w:p>
    <w:p>
      <w:pPr>
        <w:bidi w:val="1"/>
        <w:jc w:val="right"/>
      </w:pPr>
      <w:r>
        <w:rPr>
          <w:b w:val="0"/>
          <w:rtl w:val="1"/>
        </w:rPr>
        <w:t>يجب أن تطابق تسمية البيئة الافتراضية runtime الفعلي المثبت فيها. ويثبت ذلك بمسار المفسر وإصداره، لا باسم المجلد. وكل تسمية مضللة أو تقرير يعتمد الاسم دون الفحص يعد قادحًا في أثر الاختبار.</w:t>
      </w:r>
    </w:p>
    <w:p>
      <w:pPr>
        <w:bidi w:val="1"/>
        <w:jc w:val="right"/>
      </w:pPr>
      <w:r>
        <w:rPr>
          <w:b/>
          <w:rtl w:val="1"/>
        </w:rPr>
        <w:t>المادة (97): قانون الإغلاق</w:t>
      </w:r>
    </w:p>
    <w:p>
      <w:pPr>
        <w:bidi w:val="1"/>
        <w:jc w:val="right"/>
      </w:pPr>
      <w:r>
        <w:rPr>
          <w:b w:val="0"/>
          <w:rtl w:val="1"/>
        </w:rPr>
        <w:t>لا توصف خطوة بأنها CLOSED لمجرد اكتمال كتابة الكود أو سلامة المراجعة النظرية. يلزم للإغلاق: البيئة الكنسية، والاستيراد الأصلي، ونجاح الاختبارات المستهدفة، وسلامة baseline، وخلو مسار النجاح من الشيم والحقن وتعديل vendor أو حزام الاختبار.</w:t>
      </w:r>
    </w:p>
    <w:p>
      <w:pPr>
        <w:bidi w:val="1"/>
        <w:jc w:val="right"/>
      </w:pPr>
      <w:r>
        <w:rPr>
          <w:b/>
          <w:rtl w:val="1"/>
        </w:rPr>
        <w:t>المادة (98): الفصل بين التنفيذ والتفعيل</w:t>
      </w:r>
    </w:p>
    <w:p>
      <w:pPr>
        <w:bidi w:val="1"/>
        <w:jc w:val="right"/>
      </w:pPr>
      <w:r>
        <w:rPr>
          <w:b w:val="0"/>
          <w:rtl w:val="1"/>
        </w:rPr>
        <w:t>إذا كتب الكود الصحيح ولم تتوفر بيئة تشغيله أو لم يختبر عليها، فحاله IMPLEMENTED_DEFERRED_ACTIVATION أو PARTIAL بحسب العقد؛ ولا يورث حالة CLOSED ولا يفتح ما بعده.</w:t>
      </w:r>
    </w:p>
    <w:p>
      <w:pPr>
        <w:bidi w:val="1"/>
        <w:jc w:val="right"/>
      </w:pPr>
      <w:r>
        <w:rPr>
          <w:b/>
          <w:rtl w:val="1"/>
        </w:rPr>
        <w:t>المادة (99): بوابة إزالة التلوث</w:t>
      </w:r>
    </w:p>
    <w:p>
      <w:pPr>
        <w:bidi w:val="1"/>
        <w:jc w:val="right"/>
      </w:pPr>
      <w:r>
        <w:rPr>
          <w:b w:val="0"/>
          <w:rtl w:val="1"/>
        </w:rPr>
        <w:t>عند اكتشاف حقن أو ملف محظور أو تغيير في جهاز القياس، تتوقف الأعمال الجديدة حتى تثبت إزالة الأثر حقيقةً، واستعادة الملفات المتتبعة إلى أصل معلوم، والتحقق من vendor، وإعادة baseline. ولا يعد استبدال الملف المحظور بملف يرمي خطأ حذفًا أو استعادةً.</w:t>
      </w:r>
    </w:p>
    <w:p>
      <w:pPr>
        <w:bidi w:val="1"/>
        <w:jc w:val="right"/>
      </w:pPr>
      <w:r>
        <w:rPr>
          <w:b/>
          <w:rtl w:val="1"/>
        </w:rPr>
        <w:t>المادة (100): تقرير الحادثة والإصلاح</w:t>
      </w:r>
    </w:p>
    <w:p>
      <w:pPr>
        <w:bidi w:val="1"/>
        <w:jc w:val="right"/>
      </w:pPr>
      <w:r>
        <w:rPr>
          <w:b w:val="0"/>
          <w:rtl w:val="1"/>
        </w:rPr>
        <w:t>كل حادثة تمس runtime أو الاستيراد أو vendor أو الاختبارات توثق ببيان: الأثر، والملفات، وكيف اكتشفت، وما أعيد، وما حذف، ودليل النظافة، والاختبارات قبل وبعد، والحالة الصحيحة لكل خطوة. ويحظر تحويل الاعتراف بالمخالفة إلى دليل تلقائي على اكتمال إصلاحها.</w:t>
      </w:r>
    </w:p>
    <w:p>
      <w:pPr>
        <w:bidi w:val="1"/>
        <w:jc w:val="right"/>
      </w:pPr>
      <w:r>
        <w:rPr>
          <w:b/>
          <w:rtl w:val="1"/>
        </w:rPr>
        <w:t>المادة (101): معيار رفض التنفيذ الملوث</w:t>
      </w:r>
    </w:p>
    <w:p>
      <w:pPr>
        <w:bidi w:val="1"/>
        <w:jc w:val="right"/>
      </w:pPr>
      <w:r>
        <w:rPr>
          <w:b w:val="0"/>
          <w:rtl w:val="1"/>
        </w:rPr>
        <w:t>يرفض التنفيذ إذا بقي shim أو hook أو stub محظور، أو بقي vendor أو test harness معدلًا لتسهيل النجاح، أو كانت البيئة المعلنة لا تطابق runtime، أو أغلقت خطوة دون تشغيل مثبت، ولو نجحت اختبارات منتقاة داخل البيئة الملوثة.</w:t>
      </w:r>
    </w:p>
    <w:p>
      <w:pPr>
        <w:pStyle w:val="Heading1"/>
        <w:pageBreakBefore/>
        <w:jc w:val="right"/>
        <w:bidi w:val="1"/>
      </w:pPr>
      <w:r>
        <w:rPr>
          <w:rFonts w:ascii="Noto Sans Arabic" w:hAnsi="Noto Sans Arabic" w:cs="Noto Sans Arabic" w:eastAsia="Noto Sans Arabic"/>
          <w:b/>
          <w:i w:val="0"/>
          <w:color w:val="16324F"/>
          <w:sz w:val="36"/>
          <w:rtl w:val="1"/>
        </w:rPr>
        <w:t>الملحق أ — المصطلحات الحاكمة</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4762"/>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المصطلح</w:t>
            </w:r>
          </w:p>
        </w:tc>
        <w:tc>
          <w:tcPr>
            <w:tcW w:type="dxa" w:w="4762"/>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التعريف الدستوري</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Claim</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ادعاء محدد النوع والمحل والمجال قابل للتحقيق.</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Candidate</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مرشح لم يستوفِ بعد جميع شروط الترخيص.</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Evidence</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معلومة معتبرة ذات مصدر ومجال ورتبة وصلة بالادعاء.</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Assumption</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افتراض مساعد لا يملك قوة الدليل.</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Blocker / المانع</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ما يغلق الترخيص أو الأثر عند وجوده.</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Defeater / القادح</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ما يطعن في الدليل أو العلة أو العلاقة أو الرتبة.</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Residual / البقايا</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جزء غير محسوم أو خارج المجال أو غير مرخص.</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Trace / الأثر المحفوظ</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سجل التحويل والدليل والبوابات والنتيجة.</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IfadahCandidate</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فائدة مرشحة مستخرجة من علاقات مرخصة، لا حكم نهائي.</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Correspondence</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اختبار علاقة النتيجة أو الأثر بواقع ومعيار معلنين.</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Licensed</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حالة تشغيلية تثبت اجتياز البوابات المطلوبة في نطاق معين.</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Deferred</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توقف مشروع بسبب نقص قابل للاستكمال أو عدم الحسم.</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Blocked</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منع بسبب مانع أو حظر أو تعارض معتبر.</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Sahih</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سلامة الأصل والوصف والشروط بالقدر المعتبر.</w:t>
            </w:r>
          </w:p>
        </w:tc>
      </w:tr>
      <w:tr>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Fasid</w:t>
            </w:r>
          </w:p>
        </w:tc>
        <w:tc>
          <w:tcPr>
            <w:tcW w:type="dxa" w:w="4762"/>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سلامة الأصل مع خلل قابل للإصلاح في الوصف أو الشرط.</w:t>
            </w:r>
          </w:p>
        </w:tc>
      </w:tr>
      <w:tr>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Batil</w:t>
            </w:r>
          </w:p>
        </w:tc>
        <w:tc>
          <w:tcPr>
            <w:tcW w:type="dxa" w:w="4762"/>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21"/>
                <w:rtl w:val="1"/>
              </w:rPr>
              <w:t>اختلال الأصل أو الهوية أو المحل أو أصل الترخيص.</w:t>
            </w:r>
          </w:p>
        </w:tc>
      </w:tr>
    </w:tbl>
    <w:p>
      <w:pPr>
        <w:spacing w:after="40"/>
      </w:pPr>
    </w:p>
    <w:p>
      <w:pPr>
        <w:pStyle w:val="Heading1"/>
        <w:pageBreakBefore/>
        <w:jc w:val="right"/>
        <w:bidi w:val="1"/>
      </w:pPr>
      <w:r>
        <w:rPr>
          <w:rFonts w:ascii="Noto Sans Arabic" w:hAnsi="Noto Sans Arabic" w:cs="Noto Sans Arabic" w:eastAsia="Noto Sans Arabic"/>
          <w:b/>
          <w:i w:val="0"/>
          <w:color w:val="16324F"/>
          <w:sz w:val="36"/>
          <w:rtl w:val="1"/>
        </w:rPr>
        <w:t>الملحق ب — مصفوفة مواءمة SLGE مع Hokom–Taaqol</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3175"/>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مفهوم SLGE</w:t>
            </w:r>
          </w:p>
        </w:tc>
        <w:tc>
          <w:tcPr>
            <w:tcW w:type="dxa" w:w="3175"/>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المقابل المعتمد</w:t>
            </w:r>
          </w:p>
        </w:tc>
        <w:tc>
          <w:tcPr>
            <w:tcW w:type="dxa" w:w="3175"/>
            <w:shd w:fill="16324F"/>
            <w:vAlign w:val="center"/>
            <w:tcMar>
              <w:top w:w="90" w:type="dxa"/>
              <w:start w:w="90" w:type="dxa"/>
              <w:bottom w:w="90" w:type="dxa"/>
              <w:end w:w="90" w:type="dxa"/>
            </w:tcMar>
          </w:tcPr>
          <w:p>
            <w:pPr>
              <w:jc w:val="center"/>
              <w:bidi w:val="1"/>
            </w:pPr>
            <w:r>
              <w:rPr>
                <w:rFonts w:ascii="Noto Sans Arabic" w:hAnsi="Noto Sans Arabic" w:cs="Noto Sans Arabic" w:eastAsia="Noto Sans Arabic"/>
                <w:b/>
                <w:i w:val="0"/>
                <w:color w:val="FFFFFF"/>
                <w:sz w:val="20"/>
                <w:rtl w:val="1"/>
              </w:rPr>
              <w:t>قاعدة المواءمة</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الواقع / الأثر / الحامل</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Taaqol — Claim Provenance</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مصدر وحامل وأثر خام؛ لا حكم.</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المعلومات السابقة / التصور</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Taaqol — Candidate Formation</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تكوين مرشحات مع افتراضات معلنة.</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المفهوم</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ConceptContract</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حد ومجال ومضمون وامتداد وشروط وبقايا.</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المنطوق</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Utterance Contract</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صياغة لغوية أو رمزية منفصلة عن المفهوم.</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العلاقة</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Licensed Relation</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رابطة ذات نوع ودليل ومجال ورتبة.</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الإفادة</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P12 / IfadahCandidate</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نهاية المرشح الدلالي؛ لا معنى نهائي.</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الحكم</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Hokom Judgment Licensing</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سلسلة داخلية كاملة لا عقدة واحدة.</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الصحة والفساد والبطلان</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Intrinsic Verdict</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محور مستقل عن حالة Verifier.</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الفعل</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Application + Authority + Action</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لا يفتح مباشرة من الإفادة.</w:t>
            </w:r>
          </w:p>
        </w:tc>
      </w:tr>
      <w:tr>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المطابقة</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CorrespondenceAssessment</w:t>
            </w:r>
          </w:p>
        </w:tc>
        <w:tc>
          <w:tcPr>
            <w:tcW w:type="dxa" w:w="3175"/>
            <w:shd w:fill="F7F9FA"/>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اختبار بعد التطبيق والأثر.</w:t>
            </w:r>
          </w:p>
        </w:tc>
      </w:tr>
      <w:tr>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المراجعة</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RepairDirective + Trace</w:t>
            </w:r>
          </w:p>
        </w:tc>
        <w:tc>
          <w:tcPr>
            <w:tcW w:type="dxa" w:w="3175"/>
            <w:tcMar>
              <w:top w:w="80" w:type="dxa"/>
              <w:start w:w="90" w:type="dxa"/>
              <w:bottom w:w="80" w:type="dxa"/>
              <w:end w:w="90" w:type="dxa"/>
            </w:tcMar>
            <w:vAlign w:val="center"/>
          </w:tcPr>
          <w:p>
            <w:pPr>
              <w:jc w:val="right"/>
              <w:bidi w:val="1"/>
            </w:pPr>
            <w:r>
              <w:rPr>
                <w:rFonts w:ascii="Amiri" w:hAnsi="Amiri" w:cs="Amiri" w:eastAsia="Amiri"/>
                <w:b w:val="0"/>
                <w:i w:val="0"/>
                <w:color w:val="1F2933"/>
                <w:sz w:val="19"/>
                <w:rtl w:val="1"/>
              </w:rPr>
              <w:t>رجوع موجه إلى موضع الفشل.</w:t>
            </w:r>
          </w:p>
        </w:tc>
      </w:tr>
    </w:tbl>
    <w:p>
      <w:pPr>
        <w:spacing w:after="40"/>
      </w:pPr>
    </w:p>
    <w:p>
      <w:pPr>
        <w:pStyle w:val="Heading1"/>
        <w:pageBreakBefore/>
        <w:jc w:val="right"/>
        <w:bidi w:val="1"/>
      </w:pPr>
      <w:r>
        <w:rPr>
          <w:rFonts w:ascii="Noto Sans Arabic" w:hAnsi="Noto Sans Arabic" w:cs="Noto Sans Arabic" w:eastAsia="Noto Sans Arabic"/>
          <w:b/>
          <w:i w:val="0"/>
          <w:color w:val="16324F"/>
          <w:sz w:val="36"/>
          <w:rtl w:val="1"/>
        </w:rPr>
        <w:t>الملحق ج — قائمة الثوابت والاختبارات غير القابلة للتراجع</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انتقال بلا هوية محفوظة.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دليل بلا مجال وصلة معلنة.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رتبة بلا دليل.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نتيجة أعلى من أضعف مقدمة لازمة.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Licensed مع مانع نشط.</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Batil لمجرد نقص الدليل.</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إسقاط للبقايا.</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مراجعة بلا أثر محفوظ.</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عبور بين المجالات بلا DomainBridge.</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فعل من مفهوم أو إفادة مباشرة.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سجل طبقات موازٍ لـSCG.</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فتح P13 أو تجاوز نهائية P12.</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سلطة ترخيص نهائي لمحرك خارجي.</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نقل لملكية الصرف خارج Hokom.</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دمج بين الحكم الداخلي والحالة التشغيلية.</w:t>
      </w:r>
    </w:p>
    <w:p>
      <w:pPr>
        <w:spacing w:after="50"/>
        <w:ind w:right="0" w:hanging="85"/>
        <w:jc w:val="right"/>
        <w:bidi w:val="1"/>
      </w:pPr>
      <w:r>
        <w:rPr>
          <w:rFonts w:ascii="Amiri" w:hAnsi="Amiri" w:cs="Amiri" w:eastAsia="Amiri"/>
          <w:b/>
          <w:i w:val="0"/>
          <w:color w:val="2F6F73"/>
          <w:sz w:val="24"/>
          <w:rtl w:val="1"/>
        </w:rPr>
        <w:t xml:space="preserve">✓ </w:t>
      </w:r>
      <w:r>
        <w:rPr>
          <w:rFonts w:ascii="Amiri" w:hAnsi="Amiri" w:cs="Amiri" w:eastAsia="Amiri"/>
          <w:b w:val="0"/>
          <w:i w:val="0"/>
          <w:color w:val="1F2933"/>
          <w:sz w:val="24"/>
          <w:rtl w:val="1"/>
        </w:rPr>
        <w:t>لا ادعاء تنفيذ بلا اختبارات ومسار مستخدم فعليًا.</w:t>
      </w:r>
    </w:p>
    <w:p>
      <w:pPr>
        <w:bidi w:val="1"/>
        <w:jc w:val="right"/>
      </w:pPr>
      <w:r>
        <w:rPr>
          <w:rtl w:val="1"/>
        </w:rPr>
        <w:t>✓ لا إغلاق بلا runtime كنسي واختبار أصلي مثبت.</w:t>
      </w:r>
    </w:p>
    <w:p>
      <w:pPr>
        <w:bidi w:val="1"/>
        <w:jc w:val="right"/>
      </w:pPr>
      <w:r>
        <w:rPr>
          <w:rtl w:val="1"/>
        </w:rPr>
        <w:t>✓ لا shim ولا backport ولا monkey patch للمكتبة القياسية دون ترخيص صريح.</w:t>
      </w:r>
    </w:p>
    <w:p>
      <w:pPr>
        <w:bidi w:val="1"/>
        <w:jc w:val="right"/>
      </w:pPr>
      <w:r>
        <w:rPr>
          <w:rtl w:val="1"/>
        </w:rPr>
        <w:t>✓ لا تعديل في vendor أو حزام الاختبار لتصنيع النجاح.</w:t>
      </w:r>
    </w:p>
    <w:p>
      <w:pPr>
        <w:bidi w:val="1"/>
        <w:jc w:val="right"/>
      </w:pPr>
      <w:r>
        <w:rPr>
          <w:rtl w:val="1"/>
        </w:rPr>
        <w:t>✓ اسم البيئة لا يثبت إصدارها؛ الدليل هو مسار المفسر وإصداره.</w:t>
      </w:r>
    </w:p>
    <w:p>
      <w:pPr>
        <w:bidi w:val="1"/>
        <w:jc w:val="right"/>
      </w:pPr>
      <w:r>
        <w:rPr>
          <w:rtl w:val="1"/>
        </w:rPr>
        <w:t>✓ إزالة الملف المحظور تعني غيابه الحقيقي، لا استبداله بملف فاشل.</w:t>
      </w:r>
    </w:p>
    <w:sectPr w:rsidR="00FC693F" w:rsidRPr="0006063C" w:rsidSect="00034616">
      <w:headerReference w:type="default" r:id="rId9"/>
      <w:footerReference w:type="default" r:id="rId10"/>
      <w:pgSz w:w="11906" w:h="16838"/>
      <w:pgMar w:top="1134" w:right="1191"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Noto Sans Arabic" w:hAnsi="Noto Sans Arabic" w:cs="Noto Sans Arabic" w:eastAsia="Noto Sans Arabic"/>
        <w:b w:val="0"/>
        <w:i w:val="0"/>
        <w:color w:val="52616B"/>
        <w:sz w:val="18"/>
        <w:rtl w:val="1"/>
      </w:rPr>
      <w:t xml:space="preserve">Hokom–Taaqol  |  الإصدار 1.1  |  صفحة </w:t>
    </w:r>
    <w:r>
      <w:rPr>
        <w:rFonts w:ascii="Noto Sans Arabic" w:hAnsi="Noto Sans Arabic" w:cs="Noto Sans Arabic" w:eastAsia="Noto Sans Arabic"/>
        <w:b w:val="0"/>
        <w:i w:val="0"/>
        <w:color w:val="52616B"/>
        <w:sz w:val="18"/>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Bdr>
        <w:bottom w:val="single" w:sz="6" w:space="3" w:color="D9E0E4"/>
      </w:pBdr>
    </w:pPr>
    <w:r>
      <w:rPr>
        <w:rFonts w:ascii="Noto Sans Arabic" w:hAnsi="Noto Sans Arabic" w:cs="Noto Sans Arabic" w:eastAsia="Noto Sans Arabic"/>
        <w:b/>
        <w:i w:val="0"/>
        <w:color w:val="52616B"/>
        <w:sz w:val="18"/>
        <w:rtl w:val="1"/>
      </w:rPr>
      <w:t>التعديل الدستوري الأول — منشأ الادعاء وترخيص الحكم والمطابقة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miri" w:hAnsi="Amiri" w:cs="Ami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Arabic" w:hAnsi="Noto Sans Arabic" w:cs="Noto Sans Arabic"/>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Arabic" w:hAnsi="Noto Sans Arabic" w:cs="Noto Sans Arabic"/>
      <w:b/>
      <w:bCs/>
      <w:color w:val="245B78"/>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Arabic" w:hAnsi="Noto Sans Arabic" w:cs="Noto Sans Arabic"/>
      <w:b/>
      <w:bCs/>
      <w:color w:val="2F6F7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Noto Sans Arabic" w:hAnsi="Noto Sans Arabic" w:cs="Noto Sans Arabic"/>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Noto Sans Arabic" w:hAnsi="Noto Sans Arabic" w:cs="Noto Sans Arabic"/>
      <w:b/>
      <w:i/>
      <w:iCs/>
      <w:color w:val="245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00" w:line="252" w:lineRule="auto"/>
      <w:ind w:left="227" w:right="227"/>
    </w:pPr>
    <w:rPr>
      <w:rFonts w:ascii="DejaVu Sans Mono" w:hAnsi="DejaVu Sans Mono" w:cs="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