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83" w:lineRule="auto"/>
        <w:jc w:val="right"/>
        <w:keepNext w:val="0"/>
        <w:bidi w:val="1"/>
      </w:pPr>
      <w:r>
        <w:rPr>
          <w:rFonts w:ascii="Amiri" w:hAnsi="Amiri" w:cs="Amiri" w:eastAsia="Amiri"/>
          <w:b w:val="0"/>
          <w:i w:val="0"/>
          <w:color w:val="1F2933"/>
          <w:sz w:val="24"/>
          <w:rtl w:val="1"/>
        </w:rPr>
      </w:r>
    </w:p>
    <w:p>
      <w:pPr>
        <w:jc w:val="right"/>
        <w:bidi w:val="1"/>
      </w:pPr>
      <w:r>
        <w:rPr>
          <w:rFonts w:ascii="Noto Sans Arabic" w:hAnsi="Noto Sans Arabic" w:cs="Noto Sans Arabic" w:eastAsia="Noto Sans Arabic"/>
          <w:b/>
          <w:i w:val="0"/>
          <w:color w:val="B58A3B"/>
          <w:sz w:val="34"/>
          <w:rtl w:val="1"/>
        </w:rPr>
        <w:t>HOKOM–TAAQOL</w:t>
      </w:r>
    </w:p>
    <w:p>
      <w:pPr>
        <w:pStyle w:val="Title"/>
        <w:jc w:val="right"/>
        <w:bidi w:val="1"/>
      </w:pPr>
      <w:r>
        <w:rPr>
          <w:rFonts w:ascii="Noto Sans Arabic" w:hAnsi="Noto Sans Arabic" w:cs="Noto Sans Arabic" w:eastAsia="Noto Sans Arabic"/>
          <w:b/>
          <w:i w:val="0"/>
          <w:color w:val="16324F"/>
          <w:sz w:val="52"/>
          <w:rtl w:val="1"/>
        </w:rPr>
        <w:t>التكليف التنفيذي الشامل</w:t>
      </w:r>
    </w:p>
    <w:p>
      <w:pPr>
        <w:pStyle w:val="Subtitle"/>
        <w:jc w:val="right"/>
        <w:bidi w:val="1"/>
      </w:pPr>
      <w:r>
        <w:rPr>
          <w:rFonts w:ascii="Noto Sans Arabic" w:hAnsi="Noto Sans Arabic" w:cs="Noto Sans Arabic" w:eastAsia="Noto Sans Arabic"/>
          <w:b/>
          <w:i w:val="0"/>
          <w:color w:val="245B78"/>
          <w:sz w:val="29"/>
          <w:rtl w:val="1"/>
        </w:rPr>
        <w:t>إلى Qiyas / Claude لتنفيذ التعديل الدستوري الأول في Hokom–Taaqol دون ازدواج أو كسر للسجل الكنسي</w:t>
      </w:r>
    </w:p>
    <w:p>
      <w:pPr>
        <w:spacing w:after="100" w:line="283" w:lineRule="auto"/>
        <w:jc w:val="right"/>
        <w:keepNext w:val="0"/>
        <w:bidi w:val="1"/>
      </w:pPr>
      <w:r>
        <w:rPr>
          <w:rFonts w:ascii="Amiri" w:hAnsi="Amiri" w:cs="Amiri" w:eastAsia="Amiri"/>
          <w:b w:val="0"/>
          <w:i w:val="0"/>
          <w:color w:val="1F2933"/>
          <w:sz w:val="24"/>
          <w:rtl w:val="1"/>
        </w:rPr>
      </w:r>
    </w:p>
    <w:tbl>
      <w:tblPr>
        <w:tblW w:type="auto" w:w="0"/>
        <w:jc w:val="center"/>
        <w:tblLook w:firstColumn="1" w:firstRow="1" w:lastColumn="0" w:lastRow="0" w:noHBand="0" w:noVBand="1" w:val="04A0"/>
      </w:tblPr>
      <w:tblGrid>
        <w:gridCol w:w="9524"/>
      </w:tblGrid>
      <w:tr>
        <w:tc>
          <w:tcPr>
            <w:tcW w:type="dxa" w:w="9524"/>
            <w:shd w:fill="F6F0E3"/>
            <w:tcMar>
              <w:top w:w="150" w:type="dxa"/>
              <w:start w:w="190" w:type="dxa"/>
              <w:bottom w:w="150" w:type="dxa"/>
              <w:end w:w="190" w:type="dxa"/>
            </w:tcMar>
          </w:tcPr>
          <w:p>
            <w:pPr>
              <w:jc w:val="right"/>
              <w:bidi w:val="1"/>
            </w:pPr>
            <w:r>
              <w:rPr>
                <w:rFonts w:ascii="Noto Sans Arabic" w:hAnsi="Noto Sans Arabic" w:cs="Noto Sans Arabic" w:eastAsia="Noto Sans Arabic"/>
                <w:b/>
                <w:i w:val="0"/>
                <w:color w:val="16324F"/>
                <w:sz w:val="25"/>
                <w:rtl w:val="1"/>
              </w:rPr>
              <w:t>Canonical Execution Mandate — Audit, Implement, Test, and Report</w:t>
            </w:r>
          </w:p>
          <w:p>
            <w:pPr>
              <w:jc w:val="right"/>
              <w:bidi w:val="1"/>
            </w:pPr>
            <w:r>
              <w:rPr>
                <w:rFonts w:ascii="Amiri" w:hAnsi="Amiri" w:cs="Amiri" w:eastAsia="Amiri"/>
                <w:b w:val="0"/>
                <w:i w:val="0"/>
                <w:color w:val="1F2933"/>
                <w:sz w:val="24"/>
                <w:rtl w:val="1"/>
              </w:rPr>
              <w:t>وثيقة حاكمة ضمن مشروع Hokom–Taaqol. لا تنشئ سجل طبقات موازياً، ولا تُعدّل المواد المحصنة إلا بالنص الصريح الوارد فيها.</w:t>
            </w:r>
          </w:p>
        </w:tc>
      </w:tr>
    </w:tbl>
    <w:p>
      <w:pPr>
        <w:spacing w:after="20"/>
      </w:pPr>
    </w:p>
    <w:p>
      <w:pPr>
        <w:spacing w:after="100" w:line="283" w:lineRule="auto"/>
        <w:jc w:val="right"/>
        <w:keepNext w:val="0"/>
        <w:bidi w:val="1"/>
      </w:pPr>
      <w:r>
        <w:rPr>
          <w:rFonts w:ascii="Amiri" w:hAnsi="Amiri" w:cs="Amiri" w:eastAsia="Amiri"/>
          <w:b w:val="0"/>
          <w:i w:val="0"/>
          <w:color w:val="1F2933"/>
          <w:sz w:val="24"/>
          <w:rtl w:val="1"/>
        </w:rPr>
      </w:r>
    </w:p>
    <w:tbl>
      <w:tblPr>
        <w:tblStyle w:val="TableGrid"/>
        <w:tblW w:type="auto" w:w="0"/>
        <w:jc w:val="center"/>
        <w:tblLook w:firstColumn="1" w:firstRow="1" w:lastColumn="0" w:lastRow="0" w:noHBand="0" w:noVBand="1" w:val="04A0"/>
      </w:tblPr>
      <w:tblGrid>
        <w:gridCol w:w="4762"/>
        <w:gridCol w:w="4762"/>
      </w:tblGrid>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الإصدار</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1.0</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الحالة</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جاهز للإرسال والتنفيذ</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التاريخ</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18 تموز 2026</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اللغة الحاكمة</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العربية؛ والمعرّفات البرمجية الإنجليزية مفسِّرة لا ناسخة</w:t>
            </w:r>
          </w:p>
        </w:tc>
      </w:tr>
    </w:tbl>
    <w:p>
      <w:r>
        <w:br w:type="page"/>
      </w:r>
    </w:p>
    <w:p>
      <w:pPr>
        <w:pStyle w:val="Heading1"/>
        <w:jc w:val="right"/>
        <w:bidi w:val="1"/>
      </w:pPr>
      <w:r>
        <w:rPr>
          <w:rFonts w:ascii="Noto Sans Arabic" w:hAnsi="Noto Sans Arabic" w:cs="Noto Sans Arabic" w:eastAsia="Noto Sans Arabic"/>
          <w:b/>
          <w:i w:val="0"/>
          <w:color w:val="16324F"/>
          <w:sz w:val="36"/>
          <w:rtl w:val="1"/>
        </w:rPr>
        <w:t>فهرس الوثيقة</w:t>
      </w:r>
    </w:p>
    <w:p>
      <w:pPr>
        <w:spacing w:after="40"/>
        <w:jc w:val="right"/>
        <w:bidi w:val="1"/>
      </w:pPr>
      <w:r>
        <w:rPr>
          <w:rFonts w:ascii="Noto Sans Arabic" w:hAnsi="Noto Sans Arabic" w:cs="Noto Sans Arabic" w:eastAsia="Noto Sans Arabic"/>
          <w:b/>
          <w:i w:val="0"/>
          <w:color w:val="B58A3B"/>
          <w:sz w:val="23"/>
          <w:rtl w:val="1"/>
        </w:rPr>
        <w:t xml:space="preserve">1  </w:t>
      </w:r>
      <w:r>
        <w:rPr>
          <w:rFonts w:ascii="Amiri" w:hAnsi="Amiri" w:cs="Amiri" w:eastAsia="Amiri"/>
          <w:b w:val="0"/>
          <w:i w:val="0"/>
          <w:color w:val="1F2933"/>
          <w:sz w:val="23"/>
          <w:rtl w:val="1"/>
        </w:rPr>
        <w:t>الصفة التنفيذية والهدف النهائي</w:t>
      </w:r>
    </w:p>
    <w:p>
      <w:pPr>
        <w:spacing w:after="40"/>
        <w:jc w:val="right"/>
        <w:bidi w:val="1"/>
      </w:pPr>
      <w:r>
        <w:rPr>
          <w:rFonts w:ascii="Noto Sans Arabic" w:hAnsi="Noto Sans Arabic" w:cs="Noto Sans Arabic" w:eastAsia="Noto Sans Arabic"/>
          <w:b/>
          <w:i w:val="0"/>
          <w:color w:val="B58A3B"/>
          <w:sz w:val="23"/>
          <w:rtl w:val="1"/>
        </w:rPr>
        <w:t xml:space="preserve">2  </w:t>
      </w:r>
      <w:r>
        <w:rPr>
          <w:rFonts w:ascii="Amiri" w:hAnsi="Amiri" w:cs="Amiri" w:eastAsia="Amiri"/>
          <w:b w:val="0"/>
          <w:i w:val="0"/>
          <w:color w:val="1F2933"/>
          <w:sz w:val="23"/>
          <w:rtl w:val="1"/>
        </w:rPr>
        <w:t>الحقائق المحصنة التي لا يجوز مخالفتها</w:t>
      </w:r>
    </w:p>
    <w:p>
      <w:pPr>
        <w:spacing w:after="40"/>
        <w:jc w:val="right"/>
        <w:bidi w:val="1"/>
      </w:pPr>
      <w:r>
        <w:rPr>
          <w:rFonts w:ascii="Noto Sans Arabic" w:hAnsi="Noto Sans Arabic" w:cs="Noto Sans Arabic" w:eastAsia="Noto Sans Arabic"/>
          <w:b/>
          <w:i w:val="0"/>
          <w:color w:val="B58A3B"/>
          <w:sz w:val="23"/>
          <w:rtl w:val="1"/>
        </w:rPr>
        <w:t xml:space="preserve">3  </w:t>
      </w:r>
      <w:r>
        <w:rPr>
          <w:rFonts w:ascii="Amiri" w:hAnsi="Amiri" w:cs="Amiri" w:eastAsia="Amiri"/>
          <w:b w:val="0"/>
          <w:i w:val="0"/>
          <w:color w:val="1F2933"/>
          <w:sz w:val="23"/>
          <w:rtl w:val="1"/>
        </w:rPr>
        <w:t>ترتيب مصادر الحقيقة</w:t>
      </w:r>
    </w:p>
    <w:p>
      <w:pPr>
        <w:spacing w:after="40"/>
        <w:jc w:val="right"/>
        <w:bidi w:val="1"/>
      </w:pPr>
      <w:r>
        <w:rPr>
          <w:rFonts w:ascii="Noto Sans Arabic" w:hAnsi="Noto Sans Arabic" w:cs="Noto Sans Arabic" w:eastAsia="Noto Sans Arabic"/>
          <w:b/>
          <w:i w:val="0"/>
          <w:color w:val="B58A3B"/>
          <w:sz w:val="23"/>
          <w:rtl w:val="1"/>
        </w:rPr>
        <w:t xml:space="preserve">4  </w:t>
      </w:r>
      <w:r>
        <w:rPr>
          <w:rFonts w:ascii="Amiri" w:hAnsi="Amiri" w:cs="Amiri" w:eastAsia="Amiri"/>
          <w:b w:val="0"/>
          <w:i w:val="0"/>
          <w:color w:val="1F2933"/>
          <w:sz w:val="23"/>
          <w:rtl w:val="1"/>
        </w:rPr>
        <w:t>مرحلة التدقيق القرائي الإلزامية</w:t>
      </w:r>
    </w:p>
    <w:p>
      <w:pPr>
        <w:spacing w:after="40"/>
        <w:jc w:val="right"/>
        <w:bidi w:val="1"/>
      </w:pPr>
      <w:r>
        <w:rPr>
          <w:rFonts w:ascii="Noto Sans Arabic" w:hAnsi="Noto Sans Arabic" w:cs="Noto Sans Arabic" w:eastAsia="Noto Sans Arabic"/>
          <w:b/>
          <w:i w:val="0"/>
          <w:color w:val="B58A3B"/>
          <w:sz w:val="23"/>
          <w:rtl w:val="1"/>
        </w:rPr>
        <w:t xml:space="preserve">5  </w:t>
      </w:r>
      <w:r>
        <w:rPr>
          <w:rFonts w:ascii="Amiri" w:hAnsi="Amiri" w:cs="Amiri" w:eastAsia="Amiri"/>
          <w:b w:val="0"/>
          <w:i w:val="0"/>
          <w:color w:val="1F2933"/>
          <w:sz w:val="23"/>
          <w:rtl w:val="1"/>
        </w:rPr>
        <w:t>مصفوفة المطابقة والفجوات</w:t>
      </w:r>
    </w:p>
    <w:p>
      <w:pPr>
        <w:spacing w:after="40"/>
        <w:jc w:val="right"/>
        <w:bidi w:val="1"/>
      </w:pPr>
      <w:r>
        <w:rPr>
          <w:rFonts w:ascii="Noto Sans Arabic" w:hAnsi="Noto Sans Arabic" w:cs="Noto Sans Arabic" w:eastAsia="Noto Sans Arabic"/>
          <w:b/>
          <w:i w:val="0"/>
          <w:color w:val="B58A3B"/>
          <w:sz w:val="23"/>
          <w:rtl w:val="1"/>
        </w:rPr>
        <w:t xml:space="preserve">6  </w:t>
      </w:r>
      <w:r>
        <w:rPr>
          <w:rFonts w:ascii="Amiri" w:hAnsi="Amiri" w:cs="Amiri" w:eastAsia="Amiri"/>
          <w:b w:val="0"/>
          <w:i w:val="0"/>
          <w:color w:val="1F2933"/>
          <w:sz w:val="23"/>
          <w:rtl w:val="1"/>
        </w:rPr>
        <w:t>نطاق التنفيذ المغلق</w:t>
      </w:r>
    </w:p>
    <w:p>
      <w:pPr>
        <w:spacing w:after="40"/>
        <w:jc w:val="right"/>
        <w:bidi w:val="1"/>
      </w:pPr>
      <w:r>
        <w:rPr>
          <w:rFonts w:ascii="Noto Sans Arabic" w:hAnsi="Noto Sans Arabic" w:cs="Noto Sans Arabic" w:eastAsia="Noto Sans Arabic"/>
          <w:b/>
          <w:i w:val="0"/>
          <w:color w:val="B58A3B"/>
          <w:sz w:val="23"/>
          <w:rtl w:val="1"/>
        </w:rPr>
        <w:t xml:space="preserve">7  </w:t>
      </w:r>
      <w:r>
        <w:rPr>
          <w:rFonts w:ascii="Amiri" w:hAnsi="Amiri" w:cs="Amiri" w:eastAsia="Amiri"/>
          <w:b w:val="0"/>
          <w:i w:val="0"/>
          <w:color w:val="1F2933"/>
          <w:sz w:val="23"/>
          <w:rtl w:val="1"/>
        </w:rPr>
        <w:t>العقود والنماذج المطلوب تثبيتها</w:t>
      </w:r>
    </w:p>
    <w:p>
      <w:pPr>
        <w:spacing w:after="40"/>
        <w:jc w:val="right"/>
        <w:bidi w:val="1"/>
      </w:pPr>
      <w:r>
        <w:rPr>
          <w:rFonts w:ascii="Noto Sans Arabic" w:hAnsi="Noto Sans Arabic" w:cs="Noto Sans Arabic" w:eastAsia="Noto Sans Arabic"/>
          <w:b/>
          <w:i w:val="0"/>
          <w:color w:val="B58A3B"/>
          <w:sz w:val="23"/>
          <w:rtl w:val="1"/>
        </w:rPr>
        <w:t xml:space="preserve">8  </w:t>
      </w:r>
      <w:r>
        <w:rPr>
          <w:rFonts w:ascii="Amiri" w:hAnsi="Amiri" w:cs="Amiri" w:eastAsia="Amiri"/>
          <w:b w:val="0"/>
          <w:i w:val="0"/>
          <w:color w:val="1F2933"/>
          <w:sz w:val="23"/>
          <w:rtl w:val="1"/>
        </w:rPr>
        <w:t>قواعد الاندماج والتوافق ومنع الازدواج</w:t>
      </w:r>
    </w:p>
    <w:p>
      <w:pPr>
        <w:spacing w:after="40"/>
        <w:jc w:val="right"/>
        <w:bidi w:val="1"/>
      </w:pPr>
      <w:r>
        <w:rPr>
          <w:rFonts w:ascii="Noto Sans Arabic" w:hAnsi="Noto Sans Arabic" w:cs="Noto Sans Arabic" w:eastAsia="Noto Sans Arabic"/>
          <w:b/>
          <w:i w:val="0"/>
          <w:color w:val="B58A3B"/>
          <w:sz w:val="23"/>
          <w:rtl w:val="1"/>
        </w:rPr>
        <w:t xml:space="preserve">9  </w:t>
      </w:r>
      <w:r>
        <w:rPr>
          <w:rFonts w:ascii="Amiri" w:hAnsi="Amiri" w:cs="Amiri" w:eastAsia="Amiri"/>
          <w:b w:val="0"/>
          <w:i w:val="0"/>
          <w:color w:val="1F2933"/>
          <w:sz w:val="23"/>
          <w:rtl w:val="1"/>
        </w:rPr>
        <w:t>الاختبارات ومعايير القبول</w:t>
      </w:r>
    </w:p>
    <w:p>
      <w:pPr>
        <w:spacing w:after="40"/>
        <w:jc w:val="right"/>
        <w:bidi w:val="1"/>
      </w:pPr>
      <w:r>
        <w:rPr>
          <w:rFonts w:ascii="Noto Sans Arabic" w:hAnsi="Noto Sans Arabic" w:cs="Noto Sans Arabic" w:eastAsia="Noto Sans Arabic"/>
          <w:b/>
          <w:i w:val="0"/>
          <w:color w:val="B58A3B"/>
          <w:sz w:val="23"/>
          <w:rtl w:val="1"/>
        </w:rPr>
        <w:t xml:space="preserve">10  </w:t>
      </w:r>
      <w:r>
        <w:rPr>
          <w:rFonts w:ascii="Amiri" w:hAnsi="Amiri" w:cs="Amiri" w:eastAsia="Amiri"/>
          <w:b w:val="0"/>
          <w:i w:val="0"/>
          <w:color w:val="1F2933"/>
          <w:sz w:val="23"/>
          <w:rtl w:val="1"/>
        </w:rPr>
        <w:t>ضوابط Git والتغييرات المحظورة</w:t>
      </w:r>
    </w:p>
    <w:p>
      <w:pPr>
        <w:spacing w:after="40"/>
        <w:jc w:val="right"/>
        <w:bidi w:val="1"/>
      </w:pPr>
      <w:r>
        <w:rPr>
          <w:rFonts w:ascii="Noto Sans Arabic" w:hAnsi="Noto Sans Arabic" w:cs="Noto Sans Arabic" w:eastAsia="Noto Sans Arabic"/>
          <w:b/>
          <w:i w:val="0"/>
          <w:color w:val="B58A3B"/>
          <w:sz w:val="23"/>
          <w:rtl w:val="1"/>
        </w:rPr>
        <w:t xml:space="preserve">11  </w:t>
      </w:r>
      <w:r>
        <w:rPr>
          <w:rFonts w:ascii="Amiri" w:hAnsi="Amiri" w:cs="Amiri" w:eastAsia="Amiri"/>
          <w:b w:val="0"/>
          <w:i w:val="0"/>
          <w:color w:val="1F2933"/>
          <w:sz w:val="23"/>
          <w:rtl w:val="1"/>
        </w:rPr>
        <w:t>شكل التقرير النهائي الإلزامي</w:t>
      </w:r>
    </w:p>
    <w:p>
      <w:pPr>
        <w:spacing w:after="40"/>
        <w:jc w:val="right"/>
        <w:bidi w:val="1"/>
      </w:pPr>
      <w:r>
        <w:rPr>
          <w:rFonts w:ascii="Noto Sans Arabic" w:hAnsi="Noto Sans Arabic" w:cs="Noto Sans Arabic" w:eastAsia="Noto Sans Arabic"/>
          <w:b/>
          <w:i w:val="0"/>
          <w:color w:val="B58A3B"/>
          <w:sz w:val="23"/>
          <w:rtl w:val="1"/>
        </w:rPr>
        <w:t xml:space="preserve">12  </w:t>
      </w:r>
      <w:r>
        <w:rPr>
          <w:rFonts w:ascii="Amiri" w:hAnsi="Amiri" w:cs="Amiri" w:eastAsia="Amiri"/>
          <w:b w:val="0"/>
          <w:i w:val="0"/>
          <w:color w:val="1F2933"/>
          <w:sz w:val="23"/>
          <w:rtl w:val="1"/>
        </w:rPr>
        <w:t>نص الأمر التنفيذي الجاهز للنسخ</w:t>
      </w:r>
    </w:p>
    <w:p>
      <w:r>
        <w:br w:type="page"/>
      </w:r>
    </w:p>
    <w:p>
      <w:pPr>
        <w:pStyle w:val="Heading1"/>
        <w:jc w:val="right"/>
        <w:bidi w:val="1"/>
      </w:pPr>
      <w:r>
        <w:rPr>
          <w:rFonts w:ascii="Noto Sans Arabic" w:hAnsi="Noto Sans Arabic" w:cs="Noto Sans Arabic" w:eastAsia="Noto Sans Arabic"/>
          <w:b/>
          <w:i w:val="0"/>
          <w:color w:val="16324F"/>
          <w:sz w:val="36"/>
          <w:rtl w:val="1"/>
        </w:rPr>
        <w:t>1. الصفة التنفيذية والهدف النهائي</w:t>
      </w:r>
    </w:p>
    <w:tbl>
      <w:tblPr>
        <w:tblW w:type="auto" w:w="0"/>
        <w:jc w:val="center"/>
        <w:tblLook w:firstColumn="1" w:firstRow="1" w:lastColumn="0" w:lastRow="0" w:noHBand="0" w:noVBand="1" w:val="04A0"/>
      </w:tblPr>
      <w:tblGrid>
        <w:gridCol w:w="9524"/>
      </w:tblGrid>
      <w:tr>
        <w:tc>
          <w:tcPr>
            <w:tcW w:type="dxa" w:w="9524"/>
            <w:shd w:fill="EAF4EF"/>
            <w:tcMar>
              <w:top w:w="150" w:type="dxa"/>
              <w:start w:w="190" w:type="dxa"/>
              <w:bottom w:w="150" w:type="dxa"/>
              <w:end w:w="190" w:type="dxa"/>
            </w:tcMar>
          </w:tcPr>
          <w:p>
            <w:pPr>
              <w:jc w:val="right"/>
              <w:bidi w:val="1"/>
            </w:pPr>
            <w:r>
              <w:rPr>
                <w:rFonts w:ascii="Noto Sans Arabic" w:hAnsi="Noto Sans Arabic" w:cs="Noto Sans Arabic" w:eastAsia="Noto Sans Arabic"/>
                <w:b/>
                <w:i w:val="0"/>
                <w:color w:val="2E6B4F"/>
                <w:sz w:val="25"/>
                <w:rtl w:val="1"/>
              </w:rPr>
              <w:t>إلى Qiyas / Claude</w:t>
            </w:r>
          </w:p>
          <w:p>
            <w:pPr>
              <w:jc w:val="right"/>
              <w:bidi w:val="1"/>
            </w:pPr>
            <w:r>
              <w:rPr>
                <w:rFonts w:ascii="Amiri" w:hAnsi="Amiri" w:cs="Amiri" w:eastAsia="Amiri"/>
                <w:b w:val="0"/>
                <w:i w:val="0"/>
                <w:color w:val="1F2933"/>
                <w:sz w:val="24"/>
                <w:rtl w:val="1"/>
              </w:rPr>
              <w:t>أنت مكلف بإغلاق ملكية دستورية وتنفيذية كاملة، لا بإجراء تعديل موضعي أو إضافة أسماء شكلية. ابدأ بالتدقيق، ثم نفذ ما هو مفقود فقط، واختبر التكامل، وقدم تقريرًا يثبت عدم الازدواج وعدم التراجع.</w:t>
            </w:r>
          </w:p>
        </w:tc>
      </w:tr>
    </w:tbl>
    <w:p>
      <w:pPr>
        <w:spacing w:after="20"/>
      </w:pPr>
    </w:p>
    <w:p>
      <w:pPr>
        <w:spacing w:after="100" w:line="283" w:lineRule="auto"/>
        <w:jc w:val="right"/>
        <w:keepNext w:val="0"/>
        <w:bidi w:val="1"/>
      </w:pPr>
      <w:r>
        <w:rPr>
          <w:rFonts w:ascii="Amiri" w:hAnsi="Amiri" w:cs="Amiri" w:eastAsia="Amiri"/>
          <w:b w:val="0"/>
          <w:i w:val="0"/>
          <w:color w:val="1F2933"/>
          <w:sz w:val="24"/>
          <w:rtl w:val="1"/>
        </w:rPr>
        <w:t>الهدف هو إدماج التعديل الدستوري الأول الخاص بمنشأ الادعاء، وعقد المفهوم، والإفادة المرشحة، ونوع الواقع، والحكم الداخلي، والحالة التشغيلية، والأثر المحفوظ، والإصلاح، والتطبيق، والمطابقة؛ مع المحافظة على SCG وP0–P12 والنواة الحالية وملكية Hokom الصرفية.</w:t>
      </w:r>
    </w:p>
    <w:p>
      <w:pPr>
        <w:spacing w:after="100" w:line="283" w:lineRule="auto"/>
        <w:jc w:val="right"/>
        <w:keepNext w:val="0"/>
        <w:bidi w:val="1"/>
      </w:pPr>
      <w:r>
        <w:rPr>
          <w:rFonts w:ascii="Amiri" w:hAnsi="Amiri" w:cs="Amiri" w:eastAsia="Amiri"/>
          <w:b w:val="0"/>
          <w:i w:val="0"/>
          <w:color w:val="1F2933"/>
          <w:sz w:val="24"/>
          <w:rtl w:val="1"/>
        </w:rPr>
        <w:t>التكليف واسع ومغلق النطاق: لا تتوقف عند اقتراح خطة إذا كان التنفيذ ممكنًا، ولا تنشئ دفعات صغيرة متفرقة. نفذ كامل الملكية القابلة للتنفيذ ضمن المستودع الحالي في دفعة منضبطة واحدة، مع تأجيل ما يحتاج قرارًا دستوريًا جديدًا فقط، وتسميته صراحةً.</w:t>
      </w:r>
    </w:p>
    <w:p>
      <w:pPr>
        <w:pStyle w:val="Heading1"/>
        <w:pageBreakBefore/>
        <w:jc w:val="right"/>
        <w:bidi w:val="1"/>
      </w:pPr>
      <w:r>
        <w:rPr>
          <w:rFonts w:ascii="Noto Sans Arabic" w:hAnsi="Noto Sans Arabic" w:cs="Noto Sans Arabic" w:eastAsia="Noto Sans Arabic"/>
          <w:b/>
          <w:i w:val="0"/>
          <w:color w:val="16324F"/>
          <w:sz w:val="36"/>
          <w:rtl w:val="1"/>
        </w:rPr>
        <w:t>2. الحقائق المحصنة التي لا يجوز مخالفتها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السجل الكنسي الحالي يتكون من 19 طبقة موزعة على P0–P12، ولا يجوز إعادة ترقيمه أو إنشاء سجل موازٍ.</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P12 نهائي من نوع IfadahCandidate ولا يفتح P13 ولا ينتج معنى أو حكمًا نهائيًا.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نطاق التشغيل الحالي في Hokom متوقف عند P5 ما لم يثبت المستودع أو تعليمات لاحقة خلاف ذلك؛ لا تفتح P6–P12 بحجة هذا التعديل.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سلسلة الحكم الحاكمة: الوضع → السبب → الشرط → المانع → العلة → القادح → الصحة → الفساد → البطلان → الأثر → البقايا.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مخرجات Verifier تبقى: Licensed / Blocked / Deferred / Residual.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تدمج intrinsic_verdict مع operational_status أو evidence_rank.</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قانون الرتبة: رتبة النتيجة لا تتجاوز أضعف مقدمة لازمة.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وجود مانع نشط يمنع Licensed؛ ونقص دليل لازم يوجب Deferred لا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الجذر والوزن والمصدر والمشتقات ملك Hokom، ولا تُنقل إلى HR2S.</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HR2S ومحركات الخارج مصادر مرشحات أو أدلة فقط، ولا تصدر الترخيص النهائي.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فعل من Concept أو IfadahCandidate أو CandidateRule مباشرة.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زرع لأمثلة أو كلمات بعينها، ولا اعتماد على نصوص اختبارية مخصوصة بدل القاعدة العامة.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تعديل صامت في الدستور أو المخططات أو السلوك.</w:t>
      </w:r>
    </w:p>
    <w:p>
      <w:pPr>
        <w:pStyle w:val="Heading1"/>
        <w:pageBreakBefore/>
        <w:jc w:val="right"/>
        <w:bidi w:val="1"/>
      </w:pPr>
      <w:r>
        <w:rPr>
          <w:rFonts w:ascii="Noto Sans Arabic" w:hAnsi="Noto Sans Arabic" w:cs="Noto Sans Arabic" w:eastAsia="Noto Sans Arabic"/>
          <w:b/>
          <w:i w:val="0"/>
          <w:color w:val="16324F"/>
          <w:sz w:val="36"/>
          <w:rtl w:val="1"/>
        </w:rPr>
        <w:t>3. ترتيب مصادر الحقيقة</w:t>
      </w:r>
    </w:p>
    <w:p>
      <w:pPr>
        <w:spacing w:after="100" w:line="283" w:lineRule="auto"/>
        <w:jc w:val="right"/>
        <w:keepNext w:val="0"/>
        <w:bidi w:val="1"/>
      </w:pPr>
      <w:r>
        <w:rPr>
          <w:rFonts w:ascii="Amiri" w:hAnsi="Amiri" w:cs="Amiri" w:eastAsia="Amiri"/>
          <w:b w:val="0"/>
          <w:i w:val="0"/>
          <w:color w:val="1F2933"/>
          <w:sz w:val="24"/>
          <w:rtl w:val="1"/>
        </w:rPr>
        <w:t>عند التعارض، اتبع الترتيب الآتي ولا تساوِ بين المصادر:</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الرتبة</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المصدر</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وظيفته</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1</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الدستور والمواد المحصنة</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أعلى مرجع، ولا ينسخه الكود بالصمت.</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2</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السجل الكنسي SCG</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المرجع الوحيد للطبقات وحالتها وترتيبها.</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3</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العقود والمخططات الكنسية</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أشكال البيانات والحدود الدلالية.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4</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الاختبارات المعتمدة</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دليل على السلوك المقصود ما لم يثبت أنها تخالف الدستور.</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5</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التنفيذ الجاري</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دليل على الواقع البرمجي، لا على الصحة الدستورية.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6</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الوثائق والخرائط والتقارير</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تفسير ومساعدة؛ لا تنسخ الأعلى.</w:t>
            </w:r>
          </w:p>
        </w:tc>
      </w:tr>
    </w:tbl>
    <w:p>
      <w:pPr>
        <w:spacing w:after="40"/>
      </w:pPr>
    </w:p>
    <w:p>
      <w:pPr>
        <w:spacing w:after="100" w:line="283" w:lineRule="auto"/>
        <w:jc w:val="right"/>
        <w:keepNext w:val="0"/>
        <w:bidi w:val="1"/>
      </w:pPr>
      <w:r>
        <w:rPr>
          <w:rFonts w:ascii="Amiri" w:hAnsi="Amiri" w:cs="Amiri" w:eastAsia="Amiri"/>
          <w:b w:val="0"/>
          <w:i w:val="0"/>
          <w:color w:val="1F2933"/>
          <w:sz w:val="24"/>
          <w:rtl w:val="1"/>
        </w:rPr>
        <w:t>إذا وجدت تعارضًا، لا تحسمه بالتخمين. سجله في مصفوفة تعارض، وحدد أي مصدر أعلى، ثم نفذ التصحيح الأدنى الذي يعيد الاتساق ويمنع التراجع.</w:t>
      </w:r>
    </w:p>
    <w:p>
      <w:pPr>
        <w:pStyle w:val="Heading1"/>
        <w:pageBreakBefore/>
        <w:jc w:val="right"/>
        <w:bidi w:val="1"/>
      </w:pPr>
      <w:r>
        <w:rPr>
          <w:rFonts w:ascii="Noto Sans Arabic" w:hAnsi="Noto Sans Arabic" w:cs="Noto Sans Arabic" w:eastAsia="Noto Sans Arabic"/>
          <w:b/>
          <w:i w:val="0"/>
          <w:color w:val="16324F"/>
          <w:sz w:val="36"/>
          <w:rtl w:val="1"/>
        </w:rPr>
        <w:t>4. مرحلة التدقيق القرائي الإلزامية</w:t>
      </w:r>
    </w:p>
    <w:tbl>
      <w:tblPr>
        <w:tblW w:type="auto" w:w="0"/>
        <w:jc w:val="center"/>
        <w:tblLook w:firstColumn="1" w:firstRow="1" w:lastColumn="0" w:lastRow="0" w:noHBand="0" w:noVBand="1" w:val="04A0"/>
      </w:tblPr>
      <w:tblGrid>
        <w:gridCol w:w="9524"/>
      </w:tblGrid>
      <w:tr>
        <w:tc>
          <w:tcPr>
            <w:tcW w:type="dxa" w:w="9524"/>
            <w:shd w:fill="FBECEC"/>
            <w:tcMar>
              <w:top w:w="150" w:type="dxa"/>
              <w:start w:w="190" w:type="dxa"/>
              <w:bottom w:w="150" w:type="dxa"/>
              <w:end w:w="190" w:type="dxa"/>
            </w:tcMar>
          </w:tcPr>
          <w:p>
            <w:pPr>
              <w:jc w:val="right"/>
              <w:bidi w:val="1"/>
            </w:pPr>
            <w:r>
              <w:rPr>
                <w:rFonts w:ascii="Noto Sans Arabic" w:hAnsi="Noto Sans Arabic" w:cs="Noto Sans Arabic" w:eastAsia="Noto Sans Arabic"/>
                <w:b/>
                <w:i w:val="0"/>
                <w:color w:val="9C2F2F"/>
                <w:sz w:val="25"/>
                <w:rtl w:val="1"/>
              </w:rPr>
              <w:t>لا تبدأ بالكتابة قبل التدقيق</w:t>
            </w:r>
          </w:p>
          <w:p>
            <w:pPr>
              <w:jc w:val="right"/>
              <w:bidi w:val="1"/>
            </w:pPr>
            <w:r>
              <w:rPr>
                <w:rFonts w:ascii="Amiri" w:hAnsi="Amiri" w:cs="Amiri" w:eastAsia="Amiri"/>
                <w:b w:val="0"/>
                <w:i w:val="0"/>
                <w:color w:val="1F2933"/>
                <w:sz w:val="24"/>
                <w:rtl w:val="1"/>
              </w:rPr>
              <w:t>افحص المستودعات والوثائق والاختبارات أولًا، لأن بعض العقود قد تكون منفذة جزئيًا أو بأسماء مختلفة. المطلوب منع الازدواج، لا تكرار المفاهيم تحت أسماء جديدة.</w:t>
            </w:r>
          </w:p>
        </w:tc>
      </w:tr>
    </w:tbl>
    <w:p>
      <w:pPr>
        <w:spacing w:after="20"/>
      </w:pP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1. ثبت حالة الشجرة: الفرع، HEAD، الملفات المعدلة، والكتاب النشطون إن أمكن. لا تمس ملفات غير متعلقة بالنطاق.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2. حدد مستودعات ومجلدات Hokom وTaaqol وQiyas وHR2S ذات الصلة، ولا تفترض مسارات من الذاكرة.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3. اقرأ الدستور الحالي كاملًا، وسجل SCG، والـregistry seed، والعقود، والـschemas، والـenums، ومسارات Verifier، وP12، ومكونات trace/residuals الحالية.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4. ابحث دلاليًا ونصيًا عن: ClaimProvenance, ConceptContract, IfadahCandidate, RealityDomain, DomainBridge, Assessment, TransitionTrace, RepairDirective, CorrespondenceAssessment, AuthorityCheck, application, residual, blocker, defeater, sabab, shart, mani, illa, qadih, sahih, fasid,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5. ارسم مسار البيانات الفعلي من المدخل حتى المخرج الحالي، مع أسماء الملفات والدوال والأنواع.</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6. حدد ملكية الجذر والوزن والمصدر والمشتقات، وأي استدعاء لـHR2S، وأثبت هل توجد ازدواجية أو منطق مكرر.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7. شغّل مجموعة الاختبارات الحالية قبل أي تعديل وسجل العدد والنتيجة وNode-ID baseline إن كانت الآلية متاحة.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8. صنف كل بند من التعديل الدستوري إلى: IMPLEMENTED / PARTIAL / MISSING / CONFLICT / DOCUMENTED_ONLY / OUT_OF_CURRENT_SCOPE.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9. لا تعتبر وجود الاسم تنفيذًا؛ تحقق من أن المسار مستخدم فعليًا وأن القيم غير مزروعة.</w:t>
      </w:r>
    </w:p>
    <w:p>
      <w:pPr>
        <w:pStyle w:val="Heading1"/>
        <w:pageBreakBefore/>
        <w:jc w:val="right"/>
        <w:bidi w:val="1"/>
      </w:pPr>
      <w:r>
        <w:rPr>
          <w:rFonts w:ascii="Noto Sans Arabic" w:hAnsi="Noto Sans Arabic" w:cs="Noto Sans Arabic" w:eastAsia="Noto Sans Arabic"/>
          <w:b/>
          <w:i w:val="0"/>
          <w:color w:val="16324F"/>
          <w:sz w:val="36"/>
          <w:rtl w:val="1"/>
        </w:rPr>
        <w:t>5. مصفوفة المطابقة والفجوات</w:t>
      </w:r>
    </w:p>
    <w:p>
      <w:pPr>
        <w:spacing w:after="100" w:line="283" w:lineRule="auto"/>
        <w:jc w:val="right"/>
        <w:keepNext w:val="0"/>
        <w:bidi w:val="1"/>
      </w:pPr>
      <w:r>
        <w:rPr>
          <w:rFonts w:ascii="Amiri" w:hAnsi="Amiri" w:cs="Amiri" w:eastAsia="Amiri"/>
          <w:b w:val="0"/>
          <w:i w:val="0"/>
          <w:color w:val="1F2933"/>
          <w:sz w:val="24"/>
          <w:rtl w:val="1"/>
        </w:rPr>
        <w:t>أنشئ قبل التنفيذ مصفوفة داخل تقرير العمل، بالأعمدة التالية:</w:t>
      </w:r>
    </w:p>
    <w:tbl>
      <w:tblPr>
        <w:tblStyle w:val="TableGrid"/>
        <w:tblW w:type="auto" w:w="0"/>
        <w:jc w:val="center"/>
        <w:tblLayout w:type="autofit"/>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المطلب الدستوري</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الموجود</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الملف/الرمز</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الحالة</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الفجوة</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قرار التنفيذ</w:t>
            </w:r>
          </w:p>
        </w:tc>
        <w:tc>
          <w:tcPr>
            <w:tcW w:type="dxa" w:w="1361"/>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مخاطر التوافق</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Claim provenance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Concept contract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IfadahCandidate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Intrinsic vs operational</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Reality domain / bridge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Trace / residual / repair</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r>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Application / correspondence</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يفحص</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c>
          <w:tcPr>
            <w:tcW w:type="dxa" w:w="1361"/>
            <w:tcMar>
              <w:top w:w="80" w:type="dxa"/>
              <w:start w:w="90" w:type="dxa"/>
              <w:bottom w:w="80" w:type="dxa"/>
              <w:end w:w="90" w:type="dxa"/>
            </w:tcMar>
            <w:vAlign w:val="center"/>
          </w:tcPr>
          <w:p>
            <w:pPr>
              <w:jc w:val="right"/>
              <w:bidi w:val="1"/>
            </w:pPr>
            <w:r>
              <w:rPr>
                <w:rFonts w:ascii="Amiri" w:hAnsi="Amiri" w:cs="Amiri" w:eastAsia="Amiri"/>
                <w:b w:val="0"/>
                <w:i w:val="0"/>
                <w:color w:val="1F2933"/>
                <w:sz w:val="18"/>
                <w:rtl w:val="1"/>
              </w:rPr>
              <w:t>—</w:t>
            </w:r>
          </w:p>
        </w:tc>
      </w:tr>
    </w:tbl>
    <w:p>
      <w:pPr>
        <w:spacing w:after="40"/>
      </w:pPr>
    </w:p>
    <w:p>
      <w:pPr>
        <w:spacing w:after="100" w:line="283" w:lineRule="auto"/>
        <w:jc w:val="right"/>
        <w:keepNext w:val="0"/>
        <w:bidi w:val="1"/>
      </w:pPr>
      <w:r>
        <w:rPr>
          <w:rFonts w:ascii="Amiri" w:hAnsi="Amiri" w:cs="Amiri" w:eastAsia="Amiri"/>
          <w:b w:val="0"/>
          <w:i w:val="0"/>
          <w:color w:val="1F2933"/>
          <w:sz w:val="24"/>
          <w:rtl w:val="1"/>
        </w:rPr>
        <w:t>لا تسلم هذه المصفوفة فارغة. يجب ملؤها من واقع المستودع قبل البدء بالتعديل، واستخدامها لتحديد ما سيضاف وما سيعاد استعماله وما سيؤجل.</w:t>
      </w:r>
    </w:p>
    <w:p>
      <w:pPr>
        <w:pStyle w:val="Heading1"/>
        <w:pageBreakBefore/>
        <w:jc w:val="right"/>
        <w:bidi w:val="1"/>
      </w:pPr>
      <w:r>
        <w:rPr>
          <w:rFonts w:ascii="Noto Sans Arabic" w:hAnsi="Noto Sans Arabic" w:cs="Noto Sans Arabic" w:eastAsia="Noto Sans Arabic"/>
          <w:b/>
          <w:i w:val="0"/>
          <w:color w:val="16324F"/>
          <w:sz w:val="36"/>
          <w:rtl w:val="1"/>
        </w:rPr>
        <w:t>6. نطاق التنفيذ المغلق</w:t>
      </w:r>
    </w:p>
    <w:p>
      <w:pPr>
        <w:spacing w:after="100" w:line="283" w:lineRule="auto"/>
        <w:jc w:val="right"/>
        <w:keepNext w:val="0"/>
        <w:bidi w:val="1"/>
      </w:pPr>
      <w:r>
        <w:rPr>
          <w:rFonts w:ascii="Amiri" w:hAnsi="Amiri" w:cs="Amiri" w:eastAsia="Amiri"/>
          <w:b w:val="0"/>
          <w:i w:val="0"/>
          <w:color w:val="1F2933"/>
          <w:sz w:val="24"/>
          <w:rtl w:val="1"/>
        </w:rPr>
        <w:t>بعد التدقيق، نفذ كامل البنود التالية التي تقع داخل نطاق المستودع الحالي، مع إعادة استعمال الموجود الصحيح وعدم تكراره:</w:t>
      </w:r>
    </w:p>
    <w:p>
      <w:pPr>
        <w:pStyle w:val="Heading2"/>
        <w:jc w:val="right"/>
        <w:bidi w:val="1"/>
      </w:pPr>
      <w:r>
        <w:rPr>
          <w:rFonts w:ascii="Noto Sans Arabic" w:hAnsi="Noto Sans Arabic" w:cs="Noto Sans Arabic" w:eastAsia="Noto Sans Arabic"/>
          <w:b/>
          <w:i w:val="0"/>
          <w:color w:val="245B78"/>
          <w:sz w:val="30"/>
          <w:rtl w:val="1"/>
        </w:rPr>
        <w:t>6.1 التوثيق الدستوري والمرجعية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التعديل الدستوري الأول كنص مستقل مرتبط بالدستور الحالي، مع رقم إصدار وتاريخ وحالة.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إحالة واضحة من الدستور الرئيسي ومن فهرس الوثائق الحاكمة.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قسمًا يوضح أن SLGE خريطة معرفية عليا لا سجلًا تنفيذيًا موازياً.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المواد المحصنة وحدود الملكية بين Taaqol وHokom وVerifier وCorrespondence وHR2S.</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نصوصًا تاريخية أو عقودًا قائمة إلا بقدر إزالة تعارض مثبت.</w:t>
      </w:r>
    </w:p>
    <w:p>
      <w:pPr>
        <w:pStyle w:val="Heading2"/>
        <w:jc w:val="right"/>
        <w:bidi w:val="1"/>
      </w:pPr>
      <w:r>
        <w:rPr>
          <w:rFonts w:ascii="Noto Sans Arabic" w:hAnsi="Noto Sans Arabic" w:cs="Noto Sans Arabic" w:eastAsia="Noto Sans Arabic"/>
          <w:b/>
          <w:i w:val="0"/>
          <w:color w:val="245B78"/>
          <w:sz w:val="30"/>
          <w:rtl w:val="1"/>
        </w:rPr>
        <w:t>6.2 العقود المشتركة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أو وحّد ClaimProvenance.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أو وحّد ConceptContract مع تمثيل صريح لـUnknown وDeferred وNotApplicable حيث يلزم.</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IfadahCandidate بوصفه مرشحًا لا معنى نهائيًا، وأغلق الاستدلالات المحظورة عليه.</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RealityDomain وDomainBridge دون السماح بعبور ضمني بين المجالات.</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Assessment بفصل intrinsic_verdict عن operational_status وevidence_rank.</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TransitionTrace وRepairDirective أو وسع الموجود ليغطي الحد الأدنى الدستوري.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نفذ CorrespondenceAssessment وApplicationAssessment وAuthorityCheck كعقود إضافية غير مفعلة في مسار P5 إن كان تفعيلها يفتح مراحل لاحقة.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اجعل serialization/JSON مستقرة وواضحة، مع versioning إن كانت العقود العامة تحتاجه.</w:t>
      </w:r>
    </w:p>
    <w:p>
      <w:pPr>
        <w:pStyle w:val="Heading2"/>
        <w:jc w:val="right"/>
        <w:bidi w:val="1"/>
      </w:pPr>
      <w:r>
        <w:rPr>
          <w:rFonts w:ascii="Noto Sans Arabic" w:hAnsi="Noto Sans Arabic" w:cs="Noto Sans Arabic" w:eastAsia="Noto Sans Arabic"/>
          <w:b/>
          <w:i w:val="0"/>
          <w:color w:val="245B78"/>
          <w:sz w:val="30"/>
          <w:rtl w:val="1"/>
        </w:rPr>
        <w:t>6.3 بوابات والتحقق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validators أو invariants لحفظ الهوية والمجال والدليل والرتبة والبقايا والأثر.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المانع النشط يمنع Licensed.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المقدمة اللازمة المفقودة تنتج Deferred.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القادح يخفض الرتبة أو يمنع الحكم بحسب العقد، ولا يُهمل.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منع القفز من IfadahCandidate إلى Action أو final meaning.</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العبور بين RealityDomains يحتاج DomainBridge.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انتشار residuals إلى المخرجات اللاحقة ما لم تُحل بعقد موثق.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ثبت أن كل انتقال مهم ينتج أو يمدد TransitionTrace.</w:t>
      </w:r>
    </w:p>
    <w:p>
      <w:pPr>
        <w:pStyle w:val="Heading2"/>
        <w:jc w:val="right"/>
        <w:bidi w:val="1"/>
      </w:pPr>
      <w:r>
        <w:rPr>
          <w:rFonts w:ascii="Noto Sans Arabic" w:hAnsi="Noto Sans Arabic" w:cs="Noto Sans Arabic" w:eastAsia="Noto Sans Arabic"/>
          <w:b/>
          <w:i w:val="0"/>
          <w:color w:val="245B78"/>
          <w:sz w:val="30"/>
          <w:rtl w:val="1"/>
        </w:rPr>
        <w:t>6.4 التكامل مع المسار الحالي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اربط العقود الجديدة بأقرب نقطة صحيحة في التدفق الحالي دون تغيير المسارات الناجحة بلا سبب.</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كان المسار الحالي لا يملك بيانات كافية، استخدم Unknown/Deferred لا قيمًا افتراضية توهم الاكتمال.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تفعّل مسار application/action/correspondence داخل P5 إذا كان خارج النطاق؛ اكتفِ بالعقود والحدود والاختبارات السلبية التي تمنع القفز.</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حافظ على أن P12 هو IfadahCandidate terminal عند فحص السجل الكامل.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تنشئ P13 أو registry آخر أو سلسلة من 11 طبقة باسم SLGE.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تنقل المنطق الصرفي إلى HR2S، ولا تستدع مخرجاته بوصفها حقيقة نهائية.</w:t>
      </w:r>
    </w:p>
    <w:p>
      <w:pPr>
        <w:pStyle w:val="Heading1"/>
        <w:pageBreakBefore/>
        <w:jc w:val="right"/>
        <w:bidi w:val="1"/>
      </w:pPr>
      <w:r>
        <w:rPr>
          <w:rFonts w:ascii="Noto Sans Arabic" w:hAnsi="Noto Sans Arabic" w:cs="Noto Sans Arabic" w:eastAsia="Noto Sans Arabic"/>
          <w:b/>
          <w:i w:val="0"/>
          <w:color w:val="16324F"/>
          <w:sz w:val="36"/>
          <w:rtl w:val="1"/>
        </w:rPr>
        <w:t>7. العقود والنماذج المطلوب تثبيتها</w:t>
      </w:r>
    </w:p>
    <w:p>
      <w:pPr>
        <w:spacing w:after="100" w:line="283" w:lineRule="auto"/>
        <w:jc w:val="right"/>
        <w:keepNext w:val="0"/>
        <w:bidi w:val="1"/>
      </w:pPr>
      <w:r>
        <w:rPr>
          <w:rFonts w:ascii="Amiri" w:hAnsi="Amiri" w:cs="Amiri" w:eastAsia="Amiri"/>
          <w:b w:val="0"/>
          <w:i w:val="0"/>
          <w:color w:val="1F2933"/>
          <w:sz w:val="24"/>
          <w:rtl w:val="1"/>
        </w:rPr>
        <w:t>الأشكال التالية حد أدنى دلالي؛ طابقها مع أسلوب المشروع ولا تنسخها حرفيًا إذا كان للمستودع نمط أفضل. المهم هو اكتمال الدلالة وعدم الازدواج.</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ClaimProvenance {</w:t>
            </w:r>
            <w:r>
              <w:br/>
            </w:r>
            <w:r>
              <w:rPr>
                <w:rFonts w:ascii="DejaVu Sans Mono" w:hAnsi="DejaVu Sans Mono" w:cs="DejaVu Sans Mono" w:eastAsia="DejaVu Sans Mono"/>
                <w:b w:val="0"/>
                <w:i w:val="0"/>
                <w:color w:val="24313A"/>
                <w:sz w:val="18"/>
              </w:rPr>
              <w:t xml:space="preserve">  claim_id</w:t>
            </w:r>
            <w:r>
              <w:br/>
            </w:r>
            <w:r>
              <w:rPr>
                <w:rFonts w:ascii="DejaVu Sans Mono" w:hAnsi="DejaVu Sans Mono" w:cs="DejaVu Sans Mono" w:eastAsia="DejaVu Sans Mono"/>
                <w:b w:val="0"/>
                <w:i w:val="0"/>
                <w:color w:val="24313A"/>
                <w:sz w:val="18"/>
              </w:rPr>
              <w:t xml:space="preserve">  source_identity</w:t>
            </w:r>
            <w:r>
              <w:br/>
            </w:r>
            <w:r>
              <w:rPr>
                <w:rFonts w:ascii="DejaVu Sans Mono" w:hAnsi="DejaVu Sans Mono" w:cs="DejaVu Sans Mono" w:eastAsia="DejaVu Sans Mono"/>
                <w:b w:val="0"/>
                <w:i w:val="0"/>
                <w:color w:val="24313A"/>
                <w:sz w:val="18"/>
              </w:rPr>
              <w:t xml:space="preserve">  source_type</w:t>
            </w:r>
            <w:r>
              <w:br/>
            </w:r>
            <w:r>
              <w:rPr>
                <w:rFonts w:ascii="DejaVu Sans Mono" w:hAnsi="DejaVu Sans Mono" w:cs="DejaVu Sans Mono" w:eastAsia="DejaVu Sans Mono"/>
                <w:b w:val="0"/>
                <w:i w:val="0"/>
                <w:color w:val="24313A"/>
                <w:sz w:val="18"/>
              </w:rPr>
              <w:t xml:space="preserve">  originating_layer</w:t>
            </w:r>
            <w:r>
              <w:br/>
            </w:r>
            <w:r>
              <w:rPr>
                <w:rFonts w:ascii="DejaVu Sans Mono" w:hAnsi="DejaVu Sans Mono" w:cs="DejaVu Sans Mono" w:eastAsia="DejaVu Sans Mono"/>
                <w:b w:val="0"/>
                <w:i w:val="0"/>
                <w:color w:val="24313A"/>
                <w:sz w:val="18"/>
              </w:rPr>
              <w:t xml:space="preserve">  carrier</w:t>
            </w:r>
            <w:r>
              <w:br/>
            </w:r>
            <w:r>
              <w:rPr>
                <w:rFonts w:ascii="DejaVu Sans Mono" w:hAnsi="DejaVu Sans Mono" w:cs="DejaVu Sans Mono" w:eastAsia="DejaVu Sans Mono"/>
                <w:b w:val="0"/>
                <w:i w:val="0"/>
                <w:color w:val="24313A"/>
                <w:sz w:val="18"/>
              </w:rPr>
              <w:t xml:space="preserve">  preserved_surface</w:t>
            </w:r>
            <w:r>
              <w:br/>
            </w:r>
            <w:r>
              <w:rPr>
                <w:rFonts w:ascii="DejaVu Sans Mono" w:hAnsi="DejaVu Sans Mono" w:cs="DejaVu Sans Mono" w:eastAsia="DejaVu Sans Mono"/>
                <w:b w:val="0"/>
                <w:i w:val="0"/>
                <w:color w:val="24313A"/>
                <w:sz w:val="18"/>
              </w:rPr>
              <w:t xml:space="preserve">  prior_information</w:t>
            </w:r>
            <w:r>
              <w:br/>
            </w:r>
            <w:r>
              <w:rPr>
                <w:rFonts w:ascii="DejaVu Sans Mono" w:hAnsi="DejaVu Sans Mono" w:cs="DejaVu Sans Mono" w:eastAsia="DejaVu Sans Mono"/>
                <w:b w:val="0"/>
                <w:i w:val="0"/>
                <w:color w:val="24313A"/>
                <w:sz w:val="18"/>
              </w:rPr>
              <w:t xml:space="preserve">  domain</w:t>
            </w:r>
            <w:r>
              <w:br/>
            </w:r>
            <w:r>
              <w:rPr>
                <w:rFonts w:ascii="DejaVu Sans Mono" w:hAnsi="DejaVu Sans Mono" w:cs="DejaVu Sans Mono" w:eastAsia="DejaVu Sans Mono"/>
                <w:b w:val="0"/>
                <w:i w:val="0"/>
                <w:color w:val="24313A"/>
                <w:sz w:val="18"/>
              </w:rPr>
              <w:t xml:space="preserve">  transformation_history</w:t>
            </w:r>
            <w:r>
              <w:br/>
            </w:r>
            <w:r>
              <w:rPr>
                <w:rFonts w:ascii="DejaVu Sans Mono" w:hAnsi="DejaVu Sans Mono" w:cs="DejaVu Sans Mono" w:eastAsia="DejaVu Sans Mono"/>
                <w:b w:val="0"/>
                <w:i w:val="0"/>
                <w:color w:val="24313A"/>
                <w:sz w:val="18"/>
              </w:rPr>
              <w:t xml:space="preserve">  provenance_residuals</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ConceptContract {</w:t>
            </w:r>
            <w:r>
              <w:br/>
            </w:r>
            <w:r>
              <w:rPr>
                <w:rFonts w:ascii="DejaVu Sans Mono" w:hAnsi="DejaVu Sans Mono" w:cs="DejaVu Sans Mono" w:eastAsia="DejaVu Sans Mono"/>
                <w:b w:val="0"/>
                <w:i w:val="0"/>
                <w:color w:val="24313A"/>
                <w:sz w:val="18"/>
              </w:rPr>
              <w:t xml:space="preserve">  concept_id</w:t>
            </w:r>
            <w:r>
              <w:br/>
            </w:r>
            <w:r>
              <w:rPr>
                <w:rFonts w:ascii="DejaVu Sans Mono" w:hAnsi="DejaVu Sans Mono" w:cs="DejaVu Sans Mono" w:eastAsia="DejaVu Sans Mono"/>
                <w:b w:val="0"/>
                <w:i w:val="0"/>
                <w:color w:val="24313A"/>
                <w:sz w:val="18"/>
              </w:rPr>
              <w:t xml:space="preserve">  identity</w:t>
            </w:r>
            <w:r>
              <w:br/>
            </w:r>
            <w:r>
              <w:rPr>
                <w:rFonts w:ascii="DejaVu Sans Mono" w:hAnsi="DejaVu Sans Mono" w:cs="DejaVu Sans Mono" w:eastAsia="DejaVu Sans Mono"/>
                <w:b w:val="0"/>
                <w:i w:val="0"/>
                <w:color w:val="24313A"/>
                <w:sz w:val="18"/>
              </w:rPr>
              <w:t xml:space="preserve">  boundary</w:t>
            </w:r>
            <w:r>
              <w:br/>
            </w:r>
            <w:r>
              <w:rPr>
                <w:rFonts w:ascii="DejaVu Sans Mono" w:hAnsi="DejaVu Sans Mono" w:cs="DejaVu Sans Mono" w:eastAsia="DejaVu Sans Mono"/>
                <w:b w:val="0"/>
                <w:i w:val="0"/>
                <w:color w:val="24313A"/>
                <w:sz w:val="18"/>
              </w:rPr>
              <w:t xml:space="preserve">  domain</w:t>
            </w:r>
            <w:r>
              <w:br/>
            </w:r>
            <w:r>
              <w:rPr>
                <w:rFonts w:ascii="DejaVu Sans Mono" w:hAnsi="DejaVu Sans Mono" w:cs="DejaVu Sans Mono" w:eastAsia="DejaVu Sans Mono"/>
                <w:b w:val="0"/>
                <w:i w:val="0"/>
                <w:color w:val="24313A"/>
                <w:sz w:val="18"/>
              </w:rPr>
              <w:t xml:space="preserve">  intension</w:t>
            </w:r>
            <w:r>
              <w:br/>
            </w:r>
            <w:r>
              <w:rPr>
                <w:rFonts w:ascii="DejaVu Sans Mono" w:hAnsi="DejaVu Sans Mono" w:cs="DejaVu Sans Mono" w:eastAsia="DejaVu Sans Mono"/>
                <w:b w:val="0"/>
                <w:i w:val="0"/>
                <w:color w:val="24313A"/>
                <w:sz w:val="18"/>
              </w:rPr>
              <w:t xml:space="preserve">  extension</w:t>
            </w:r>
            <w:r>
              <w:br/>
            </w:r>
            <w:r>
              <w:rPr>
                <w:rFonts w:ascii="DejaVu Sans Mono" w:hAnsi="DejaVu Sans Mono" w:cs="DejaVu Sans Mono" w:eastAsia="DejaVu Sans Mono"/>
                <w:b w:val="0"/>
                <w:i w:val="0"/>
                <w:color w:val="24313A"/>
                <w:sz w:val="18"/>
              </w:rPr>
              <w:t xml:space="preserve">  conditions</w:t>
            </w:r>
            <w:r>
              <w:br/>
            </w:r>
            <w:r>
              <w:rPr>
                <w:rFonts w:ascii="DejaVu Sans Mono" w:hAnsi="DejaVu Sans Mono" w:cs="DejaVu Sans Mono" w:eastAsia="DejaVu Sans Mono"/>
                <w:b w:val="0"/>
                <w:i w:val="0"/>
                <w:color w:val="24313A"/>
                <w:sz w:val="18"/>
              </w:rPr>
              <w:t xml:space="preserve">  implications</w:t>
            </w:r>
            <w:r>
              <w:br/>
            </w:r>
            <w:r>
              <w:rPr>
                <w:rFonts w:ascii="DejaVu Sans Mono" w:hAnsi="DejaVu Sans Mono" w:cs="DejaVu Sans Mono" w:eastAsia="DejaVu Sans Mono"/>
                <w:b w:val="0"/>
                <w:i w:val="0"/>
                <w:color w:val="24313A"/>
                <w:sz w:val="18"/>
              </w:rPr>
              <w:t xml:space="preserve">  exclusions</w:t>
            </w:r>
            <w:r>
              <w:br/>
            </w:r>
            <w:r>
              <w:rPr>
                <w:rFonts w:ascii="DejaVu Sans Mono" w:hAnsi="DejaVu Sans Mono" w:cs="DejaVu Sans Mono" w:eastAsia="DejaVu Sans Mono"/>
                <w:b w:val="0"/>
                <w:i w:val="0"/>
                <w:color w:val="24313A"/>
                <w:sz w:val="18"/>
              </w:rPr>
              <w:t xml:space="preserve">  evidence</w:t>
            </w:r>
            <w:r>
              <w:br/>
            </w:r>
            <w:r>
              <w:rPr>
                <w:rFonts w:ascii="DejaVu Sans Mono" w:hAnsi="DejaVu Sans Mono" w:cs="DejaVu Sans Mono" w:eastAsia="DejaVu Sans Mono"/>
                <w:b w:val="0"/>
                <w:i w:val="0"/>
                <w:color w:val="24313A"/>
                <w:sz w:val="18"/>
              </w:rPr>
              <w:t xml:space="preserve">  evidence_rank</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review_trace</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IfadahCandidate {</w:t>
            </w:r>
            <w:r>
              <w:br/>
            </w:r>
            <w:r>
              <w:rPr>
                <w:rFonts w:ascii="DejaVu Sans Mono" w:hAnsi="DejaVu Sans Mono" w:cs="DejaVu Sans Mono" w:eastAsia="DejaVu Sans Mono"/>
                <w:b w:val="0"/>
                <w:i w:val="0"/>
                <w:color w:val="24313A"/>
                <w:sz w:val="18"/>
              </w:rPr>
              <w:t xml:space="preserve">  proposition</w:t>
            </w:r>
            <w:r>
              <w:br/>
            </w:r>
            <w:r>
              <w:rPr>
                <w:rFonts w:ascii="DejaVu Sans Mono" w:hAnsi="DejaVu Sans Mono" w:cs="DejaVu Sans Mono" w:eastAsia="DejaVu Sans Mono"/>
                <w:b w:val="0"/>
                <w:i w:val="0"/>
                <w:color w:val="24313A"/>
                <w:sz w:val="18"/>
              </w:rPr>
              <w:t xml:space="preserve">  source_utterance</w:t>
            </w:r>
            <w:r>
              <w:br/>
            </w:r>
            <w:r>
              <w:rPr>
                <w:rFonts w:ascii="DejaVu Sans Mono" w:hAnsi="DejaVu Sans Mono" w:cs="DejaVu Sans Mono" w:eastAsia="DejaVu Sans Mono"/>
                <w:b w:val="0"/>
                <w:i w:val="0"/>
                <w:color w:val="24313A"/>
                <w:sz w:val="18"/>
              </w:rPr>
              <w:t xml:space="preserve">  licensed_relations</w:t>
            </w:r>
            <w:r>
              <w:br/>
            </w:r>
            <w:r>
              <w:rPr>
                <w:rFonts w:ascii="DejaVu Sans Mono" w:hAnsi="DejaVu Sans Mono" w:cs="DejaVu Sans Mono" w:eastAsia="DejaVu Sans Mono"/>
                <w:b w:val="0"/>
                <w:i w:val="0"/>
                <w:color w:val="24313A"/>
                <w:sz w:val="18"/>
              </w:rPr>
              <w:t xml:space="preserve">  domain</w:t>
            </w:r>
            <w:r>
              <w:br/>
            </w:r>
            <w:r>
              <w:rPr>
                <w:rFonts w:ascii="DejaVu Sans Mono" w:hAnsi="DejaVu Sans Mono" w:cs="DejaVu Sans Mono" w:eastAsia="DejaVu Sans Mono"/>
                <w:b w:val="0"/>
                <w:i w:val="0"/>
                <w:color w:val="24313A"/>
                <w:sz w:val="18"/>
              </w:rPr>
              <w:t xml:space="preserve">  evidence</w:t>
            </w:r>
            <w:r>
              <w:br/>
            </w:r>
            <w:r>
              <w:rPr>
                <w:rFonts w:ascii="DejaVu Sans Mono" w:hAnsi="DejaVu Sans Mono" w:cs="DejaVu Sans Mono" w:eastAsia="DejaVu Sans Mono"/>
                <w:b w:val="0"/>
                <w:i w:val="0"/>
                <w:color w:val="24313A"/>
                <w:sz w:val="18"/>
              </w:rPr>
              <w:t xml:space="preserve">  evidence_rank</w:t>
            </w:r>
            <w:r>
              <w:br/>
            </w:r>
            <w:r>
              <w:rPr>
                <w:rFonts w:ascii="DejaVu Sans Mono" w:hAnsi="DejaVu Sans Mono" w:cs="DejaVu Sans Mono" w:eastAsia="DejaVu Sans Mono"/>
                <w:b w:val="0"/>
                <w:i w:val="0"/>
                <w:color w:val="24313A"/>
                <w:sz w:val="18"/>
              </w:rPr>
              <w:t xml:space="preserve">  assumptions</w:t>
            </w:r>
            <w:r>
              <w:br/>
            </w:r>
            <w:r>
              <w:rPr>
                <w:rFonts w:ascii="DejaVu Sans Mono" w:hAnsi="DejaVu Sans Mono" w:cs="DejaVu Sans Mono" w:eastAsia="DejaVu Sans Mono"/>
                <w:b w:val="0"/>
                <w:i w:val="0"/>
                <w:color w:val="24313A"/>
                <w:sz w:val="18"/>
              </w:rPr>
              <w:t xml:space="preserve">  blockers</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prohibited_inferences</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Assessment {</w:t>
            </w:r>
            <w:r>
              <w:br/>
            </w:r>
            <w:r>
              <w:rPr>
                <w:rFonts w:ascii="DejaVu Sans Mono" w:hAnsi="DejaVu Sans Mono" w:cs="DejaVu Sans Mono" w:eastAsia="DejaVu Sans Mono"/>
                <w:b w:val="0"/>
                <w:i w:val="0"/>
                <w:color w:val="24313A"/>
                <w:sz w:val="18"/>
              </w:rPr>
              <w:t xml:space="preserve">  intrinsic_verdict: SAHIH | FASID | BATIL | UNDETERMINED</w:t>
            </w:r>
            <w:r>
              <w:br/>
            </w:r>
            <w:r>
              <w:rPr>
                <w:rFonts w:ascii="DejaVu Sans Mono" w:hAnsi="DejaVu Sans Mono" w:cs="DejaVu Sans Mono" w:eastAsia="DejaVu Sans Mono"/>
                <w:b w:val="0"/>
                <w:i w:val="0"/>
                <w:color w:val="24313A"/>
                <w:sz w:val="18"/>
              </w:rPr>
              <w:t xml:space="preserve">  operational_status: LICENSED | BLOCKED | DEFERRED | RESIDUAL</w:t>
            </w:r>
            <w:r>
              <w:br/>
            </w:r>
            <w:r>
              <w:rPr>
                <w:rFonts w:ascii="DejaVu Sans Mono" w:hAnsi="DejaVu Sans Mono" w:cs="DejaVu Sans Mono" w:eastAsia="DejaVu Sans Mono"/>
                <w:b w:val="0"/>
                <w:i w:val="0"/>
                <w:color w:val="24313A"/>
                <w:sz w:val="18"/>
              </w:rPr>
              <w:t xml:space="preserve">  evidence_rank</w:t>
            </w:r>
            <w:r>
              <w:br/>
            </w:r>
            <w:r>
              <w:rPr>
                <w:rFonts w:ascii="DejaVu Sans Mono" w:hAnsi="DejaVu Sans Mono" w:cs="DejaVu Sans Mono" w:eastAsia="DejaVu Sans Mono"/>
                <w:b w:val="0"/>
                <w:i w:val="0"/>
                <w:color w:val="24313A"/>
                <w:sz w:val="18"/>
              </w:rPr>
              <w:t xml:space="preserve">  reasons</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TransitionTrace {</w:t>
            </w:r>
            <w:r>
              <w:br/>
            </w:r>
            <w:r>
              <w:rPr>
                <w:rFonts w:ascii="DejaVu Sans Mono" w:hAnsi="DejaVu Sans Mono" w:cs="DejaVu Sans Mono" w:eastAsia="DejaVu Sans Mono"/>
                <w:b w:val="0"/>
                <w:i w:val="0"/>
                <w:color w:val="24313A"/>
                <w:sz w:val="18"/>
              </w:rPr>
              <w:t xml:space="preserve">  from_layer</w:t>
            </w:r>
            <w:r>
              <w:br/>
            </w:r>
            <w:r>
              <w:rPr>
                <w:rFonts w:ascii="DejaVu Sans Mono" w:hAnsi="DejaVu Sans Mono" w:cs="DejaVu Sans Mono" w:eastAsia="DejaVu Sans Mono"/>
                <w:b w:val="0"/>
                <w:i w:val="0"/>
                <w:color w:val="24313A"/>
                <w:sz w:val="18"/>
              </w:rPr>
              <w:t xml:space="preserve">  to_layer</w:t>
            </w:r>
            <w:r>
              <w:br/>
            </w:r>
            <w:r>
              <w:rPr>
                <w:rFonts w:ascii="DejaVu Sans Mono" w:hAnsi="DejaVu Sans Mono" w:cs="DejaVu Sans Mono" w:eastAsia="DejaVu Sans Mono"/>
                <w:b w:val="0"/>
                <w:i w:val="0"/>
                <w:color w:val="24313A"/>
                <w:sz w:val="18"/>
              </w:rPr>
              <w:t xml:space="preserve">  input_identity</w:t>
            </w:r>
            <w:r>
              <w:br/>
            </w:r>
            <w:r>
              <w:rPr>
                <w:rFonts w:ascii="DejaVu Sans Mono" w:hAnsi="DejaVu Sans Mono" w:cs="DejaVu Sans Mono" w:eastAsia="DejaVu Sans Mono"/>
                <w:b w:val="0"/>
                <w:i w:val="0"/>
                <w:color w:val="24313A"/>
                <w:sz w:val="18"/>
              </w:rPr>
              <w:t xml:space="preserve">  output_identity</w:t>
            </w:r>
            <w:r>
              <w:br/>
            </w:r>
            <w:r>
              <w:rPr>
                <w:rFonts w:ascii="DejaVu Sans Mono" w:hAnsi="DejaVu Sans Mono" w:cs="DejaVu Sans Mono" w:eastAsia="DejaVu Sans Mono"/>
                <w:b w:val="0"/>
                <w:i w:val="0"/>
                <w:color w:val="24313A"/>
                <w:sz w:val="18"/>
              </w:rPr>
              <w:t xml:space="preserve">  transformation</w:t>
            </w:r>
            <w:r>
              <w:br/>
            </w:r>
            <w:r>
              <w:rPr>
                <w:rFonts w:ascii="DejaVu Sans Mono" w:hAnsi="DejaVu Sans Mono" w:cs="DejaVu Sans Mono" w:eastAsia="DejaVu Sans Mono"/>
                <w:b w:val="0"/>
                <w:i w:val="0"/>
                <w:color w:val="24313A"/>
                <w:sz w:val="18"/>
              </w:rPr>
              <w:t xml:space="preserve">  evidence_used</w:t>
            </w:r>
            <w:r>
              <w:br/>
            </w:r>
            <w:r>
              <w:rPr>
                <w:rFonts w:ascii="DejaVu Sans Mono" w:hAnsi="DejaVu Sans Mono" w:cs="DejaVu Sans Mono" w:eastAsia="DejaVu Sans Mono"/>
                <w:b w:val="0"/>
                <w:i w:val="0"/>
                <w:color w:val="24313A"/>
                <w:sz w:val="18"/>
              </w:rPr>
              <w:t xml:space="preserve">  conditions_checked</w:t>
            </w:r>
            <w:r>
              <w:br/>
            </w:r>
            <w:r>
              <w:rPr>
                <w:rFonts w:ascii="DejaVu Sans Mono" w:hAnsi="DejaVu Sans Mono" w:cs="DejaVu Sans Mono" w:eastAsia="DejaVu Sans Mono"/>
                <w:b w:val="0"/>
                <w:i w:val="0"/>
                <w:color w:val="24313A"/>
                <w:sz w:val="18"/>
              </w:rPr>
              <w:t xml:space="preserve">  blockers_checked</w:t>
            </w:r>
            <w:r>
              <w:br/>
            </w:r>
            <w:r>
              <w:rPr>
                <w:rFonts w:ascii="DejaVu Sans Mono" w:hAnsi="DejaVu Sans Mono" w:cs="DejaVu Sans Mono" w:eastAsia="DejaVu Sans Mono"/>
                <w:b w:val="0"/>
                <w:i w:val="0"/>
                <w:color w:val="24313A"/>
                <w:sz w:val="18"/>
              </w:rPr>
              <w:t xml:space="preserve">  defeaters_checked</w:t>
            </w:r>
            <w:r>
              <w:br/>
            </w:r>
            <w:r>
              <w:rPr>
                <w:rFonts w:ascii="DejaVu Sans Mono" w:hAnsi="DejaVu Sans Mono" w:cs="DejaVu Sans Mono" w:eastAsia="DejaVu Sans Mono"/>
                <w:b w:val="0"/>
                <w:i w:val="0"/>
                <w:color w:val="24313A"/>
                <w:sz w:val="18"/>
              </w:rPr>
              <w:t xml:space="preserve">  rank_before</w:t>
            </w:r>
            <w:r>
              <w:br/>
            </w:r>
            <w:r>
              <w:rPr>
                <w:rFonts w:ascii="DejaVu Sans Mono" w:hAnsi="DejaVu Sans Mono" w:cs="DejaVu Sans Mono" w:eastAsia="DejaVu Sans Mono"/>
                <w:b w:val="0"/>
                <w:i w:val="0"/>
                <w:color w:val="24313A"/>
                <w:sz w:val="18"/>
              </w:rPr>
              <w:t xml:space="preserve">  rank_after</w:t>
            </w:r>
            <w:r>
              <w:br/>
            </w:r>
            <w:r>
              <w:rPr>
                <w:rFonts w:ascii="DejaVu Sans Mono" w:hAnsi="DejaVu Sans Mono" w:cs="DejaVu Sans Mono" w:eastAsia="DejaVu Sans Mono"/>
                <w:b w:val="0"/>
                <w:i w:val="0"/>
                <w:color w:val="24313A"/>
                <w:sz w:val="18"/>
              </w:rPr>
              <w:t xml:space="preserve">  verdict</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implementation_version</w:t>
            </w:r>
            <w:r>
              <w:br/>
            </w:r>
            <w:r>
              <w:rPr>
                <w:rFonts w:ascii="DejaVu Sans Mono" w:hAnsi="DejaVu Sans Mono" w:cs="DejaVu Sans Mono" w:eastAsia="DejaVu Sans Mono"/>
                <w:b w:val="0"/>
                <w:i w:val="0"/>
                <w:color w:val="24313A"/>
                <w:sz w:val="18"/>
              </w:rPr>
              <w:t xml:space="preserve">  timestamp</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RepairDirective {</w:t>
            </w:r>
            <w:r>
              <w:br/>
            </w:r>
            <w:r>
              <w:rPr>
                <w:rFonts w:ascii="DejaVu Sans Mono" w:hAnsi="DejaVu Sans Mono" w:cs="DejaVu Sans Mono" w:eastAsia="DejaVu Sans Mono"/>
                <w:b w:val="0"/>
                <w:i w:val="0"/>
                <w:color w:val="24313A"/>
                <w:sz w:val="18"/>
              </w:rPr>
              <w:t xml:space="preserve">  failure_layer</w:t>
            </w:r>
            <w:r>
              <w:br/>
            </w:r>
            <w:r>
              <w:rPr>
                <w:rFonts w:ascii="DejaVu Sans Mono" w:hAnsi="DejaVu Sans Mono" w:cs="DejaVu Sans Mono" w:eastAsia="DejaVu Sans Mono"/>
                <w:b w:val="0"/>
                <w:i w:val="0"/>
                <w:color w:val="24313A"/>
                <w:sz w:val="18"/>
              </w:rPr>
              <w:t xml:space="preserve">  return_to_layer</w:t>
            </w:r>
            <w:r>
              <w:br/>
            </w:r>
            <w:r>
              <w:rPr>
                <w:rFonts w:ascii="DejaVu Sans Mono" w:hAnsi="DejaVu Sans Mono" w:cs="DejaVu Sans Mono" w:eastAsia="DejaVu Sans Mono"/>
                <w:b w:val="0"/>
                <w:i w:val="0"/>
                <w:color w:val="24313A"/>
                <w:sz w:val="18"/>
              </w:rPr>
              <w:t xml:space="preserve">  failed_gate</w:t>
            </w:r>
            <w:r>
              <w:br/>
            </w:r>
            <w:r>
              <w:rPr>
                <w:rFonts w:ascii="DejaVu Sans Mono" w:hAnsi="DejaVu Sans Mono" w:cs="DejaVu Sans Mono" w:eastAsia="DejaVu Sans Mono"/>
                <w:b w:val="0"/>
                <w:i w:val="0"/>
                <w:color w:val="24313A"/>
                <w:sz w:val="18"/>
              </w:rPr>
              <w:t xml:space="preserve">  missing_condition</w:t>
            </w:r>
            <w:r>
              <w:br/>
            </w:r>
            <w:r>
              <w:rPr>
                <w:rFonts w:ascii="DejaVu Sans Mono" w:hAnsi="DejaVu Sans Mono" w:cs="DejaVu Sans Mono" w:eastAsia="DejaVu Sans Mono"/>
                <w:b w:val="0"/>
                <w:i w:val="0"/>
                <w:color w:val="24313A"/>
                <w:sz w:val="18"/>
              </w:rPr>
              <w:t xml:space="preserve">  missing_evidence</w:t>
            </w:r>
            <w:r>
              <w:br/>
            </w:r>
            <w:r>
              <w:rPr>
                <w:rFonts w:ascii="DejaVu Sans Mono" w:hAnsi="DejaVu Sans Mono" w:cs="DejaVu Sans Mono" w:eastAsia="DejaVu Sans Mono"/>
                <w:b w:val="0"/>
                <w:i w:val="0"/>
                <w:color w:val="24313A"/>
                <w:sz w:val="18"/>
              </w:rPr>
              <w:t xml:space="preserve">  active_blocker</w:t>
            </w:r>
            <w:r>
              <w:br/>
            </w:r>
            <w:r>
              <w:rPr>
                <w:rFonts w:ascii="DejaVu Sans Mono" w:hAnsi="DejaVu Sans Mono" w:cs="DejaVu Sans Mono" w:eastAsia="DejaVu Sans Mono"/>
                <w:b w:val="0"/>
                <w:i w:val="0"/>
                <w:color w:val="24313A"/>
                <w:sz w:val="18"/>
              </w:rPr>
              <w:t xml:space="preserve">  challenged_cause</w:t>
            </w:r>
            <w:r>
              <w:br/>
            </w:r>
            <w:r>
              <w:rPr>
                <w:rFonts w:ascii="DejaVu Sans Mono" w:hAnsi="DejaVu Sans Mono" w:cs="DejaVu Sans Mono" w:eastAsia="DejaVu Sans Mono"/>
                <w:b w:val="0"/>
                <w:i w:val="0"/>
                <w:color w:val="24313A"/>
                <w:sz w:val="18"/>
              </w:rPr>
              <w:t xml:space="preserve">  required_correction</w:t>
            </w:r>
            <w:r>
              <w:br/>
            </w:r>
            <w:r>
              <w:rPr>
                <w:rFonts w:ascii="DejaVu Sans Mono" w:hAnsi="DejaVu Sans Mono" w:cs="DejaVu Sans Mono" w:eastAsia="DejaVu Sans Mono"/>
                <w:b w:val="0"/>
                <w:i w:val="0"/>
                <w:color w:val="24313A"/>
                <w:sz w:val="18"/>
              </w:rPr>
              <w:t xml:space="preserve">  retry_from</w:t>
            </w:r>
            <w:r>
              <w:br/>
            </w:r>
            <w:r>
              <w:rPr>
                <w:rFonts w:ascii="DejaVu Sans Mono" w:hAnsi="DejaVu Sans Mono" w:cs="DejaVu Sans Mono" w:eastAsia="DejaVu Sans Mono"/>
                <w:b w:val="0"/>
                <w:i w:val="0"/>
                <w:color w:val="24313A"/>
                <w:sz w:val="18"/>
              </w:rPr>
              <w:t xml:space="preserve">  retry_scope</w:t>
            </w:r>
            <w:r>
              <w:br/>
            </w:r>
            <w:r>
              <w:rPr>
                <w:rFonts w:ascii="DejaVu Sans Mono" w:hAnsi="DejaVu Sans Mono" w:cs="DejaVu Sans Mono" w:eastAsia="DejaVu Sans Mono"/>
                <w:b w:val="0"/>
                <w:i w:val="0"/>
                <w:color w:val="24313A"/>
                <w:sz w:val="18"/>
              </w:rPr>
              <w:t>}</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CorrespondenceAssessment {</w:t>
            </w:r>
            <w:r>
              <w:br/>
            </w:r>
            <w:r>
              <w:rPr>
                <w:rFonts w:ascii="DejaVu Sans Mono" w:hAnsi="DejaVu Sans Mono" w:cs="DejaVu Sans Mono" w:eastAsia="DejaVu Sans Mono"/>
                <w:b w:val="0"/>
                <w:i w:val="0"/>
                <w:color w:val="24313A"/>
                <w:sz w:val="18"/>
              </w:rPr>
              <w:t xml:space="preserve">  expected_reality</w:t>
            </w:r>
            <w:r>
              <w:br/>
            </w:r>
            <w:r>
              <w:rPr>
                <w:rFonts w:ascii="DejaVu Sans Mono" w:hAnsi="DejaVu Sans Mono" w:cs="DejaVu Sans Mono" w:eastAsia="DejaVu Sans Mono"/>
                <w:b w:val="0"/>
                <w:i w:val="0"/>
                <w:color w:val="24313A"/>
                <w:sz w:val="18"/>
              </w:rPr>
              <w:t xml:space="preserve">  observed_reality</w:t>
            </w:r>
            <w:r>
              <w:br/>
            </w:r>
            <w:r>
              <w:rPr>
                <w:rFonts w:ascii="DejaVu Sans Mono" w:hAnsi="DejaVu Sans Mono" w:cs="DejaVu Sans Mono" w:eastAsia="DejaVu Sans Mono"/>
                <w:b w:val="0"/>
                <w:i w:val="0"/>
                <w:color w:val="24313A"/>
                <w:sz w:val="18"/>
              </w:rPr>
              <w:t xml:space="preserve">  reality_domain</w:t>
            </w:r>
            <w:r>
              <w:br/>
            </w:r>
            <w:r>
              <w:rPr>
                <w:rFonts w:ascii="DejaVu Sans Mono" w:hAnsi="DejaVu Sans Mono" w:cs="DejaVu Sans Mono" w:eastAsia="DejaVu Sans Mono"/>
                <w:b w:val="0"/>
                <w:i w:val="0"/>
                <w:color w:val="24313A"/>
                <w:sz w:val="18"/>
              </w:rPr>
              <w:t xml:space="preserve">  comparison_criteria</w:t>
            </w:r>
            <w:r>
              <w:br/>
            </w:r>
            <w:r>
              <w:rPr>
                <w:rFonts w:ascii="DejaVu Sans Mono" w:hAnsi="DejaVu Sans Mono" w:cs="DejaVu Sans Mono" w:eastAsia="DejaVu Sans Mono"/>
                <w:b w:val="0"/>
                <w:i w:val="0"/>
                <w:color w:val="24313A"/>
                <w:sz w:val="18"/>
              </w:rPr>
              <w:t xml:space="preserve">  matched_elements</w:t>
            </w:r>
            <w:r>
              <w:br/>
            </w:r>
            <w:r>
              <w:rPr>
                <w:rFonts w:ascii="DejaVu Sans Mono" w:hAnsi="DejaVu Sans Mono" w:cs="DejaVu Sans Mono" w:eastAsia="DejaVu Sans Mono"/>
                <w:b w:val="0"/>
                <w:i w:val="0"/>
                <w:color w:val="24313A"/>
                <w:sz w:val="18"/>
              </w:rPr>
              <w:t xml:space="preserve">  mismatched_elements</w:t>
            </w:r>
            <w:r>
              <w:br/>
            </w:r>
            <w:r>
              <w:rPr>
                <w:rFonts w:ascii="DejaVu Sans Mono" w:hAnsi="DejaVu Sans Mono" w:cs="DejaVu Sans Mono" w:eastAsia="DejaVu Sans Mono"/>
                <w:b w:val="0"/>
                <w:i w:val="0"/>
                <w:color w:val="24313A"/>
                <w:sz w:val="18"/>
              </w:rPr>
              <w:t xml:space="preserve">  unobservable_elements</w:t>
            </w:r>
            <w:r>
              <w:br/>
            </w:r>
            <w:r>
              <w:rPr>
                <w:rFonts w:ascii="DejaVu Sans Mono" w:hAnsi="DejaVu Sans Mono" w:cs="DejaVu Sans Mono" w:eastAsia="DejaVu Sans Mono"/>
                <w:b w:val="0"/>
                <w:i w:val="0"/>
                <w:color w:val="24313A"/>
                <w:sz w:val="18"/>
              </w:rPr>
              <w:t xml:space="preserve">  contrary_evidence</w:t>
            </w:r>
            <w:r>
              <w:br/>
            </w:r>
            <w:r>
              <w:rPr>
                <w:rFonts w:ascii="DejaVu Sans Mono" w:hAnsi="DejaVu Sans Mono" w:cs="DejaVu Sans Mono" w:eastAsia="DejaVu Sans Mono"/>
                <w:b w:val="0"/>
                <w:i w:val="0"/>
                <w:color w:val="24313A"/>
                <w:sz w:val="18"/>
              </w:rPr>
              <w:t xml:space="preserve">  status</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 xml:space="preserve">  review_required</w:t>
            </w:r>
            <w:r>
              <w:br/>
            </w:r>
            <w:r>
              <w:rPr>
                <w:rFonts w:ascii="DejaVu Sans Mono" w:hAnsi="DejaVu Sans Mono" w:cs="DejaVu Sans Mono" w:eastAsia="DejaVu Sans Mono"/>
                <w:b w:val="0"/>
                <w:i w:val="0"/>
                <w:color w:val="24313A"/>
                <w:sz w:val="18"/>
              </w:rPr>
              <w:t>}</w:t>
            </w:r>
          </w:p>
        </w:tc>
      </w:tr>
    </w:tbl>
    <w:p>
      <w:pPr>
        <w:spacing w:after="20"/>
      </w:pPr>
    </w:p>
    <w:p>
      <w:pPr>
        <w:pStyle w:val="Heading1"/>
        <w:pageBreakBefore/>
        <w:jc w:val="right"/>
        <w:bidi w:val="1"/>
      </w:pPr>
      <w:r>
        <w:rPr>
          <w:rFonts w:ascii="Noto Sans Arabic" w:hAnsi="Noto Sans Arabic" w:cs="Noto Sans Arabic" w:eastAsia="Noto Sans Arabic"/>
          <w:b/>
          <w:i w:val="0"/>
          <w:color w:val="16324F"/>
          <w:sz w:val="36"/>
          <w:rtl w:val="1"/>
        </w:rPr>
        <w:t>8. قواعد الاندماج والتوافق ومنع الازدواج</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استخدم الأنواع الحالية إن كانت تحقق المعنى؛ وسعها بدل إنشاء نظير مكرر.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وجدت نوعين يؤديان الوظيفة نفسها، عين مالكًا واحدًا وخطة إلغاء للآخر مع adapters انتقالية.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تنقل ملفات بين المستودعات قبل إثبات الملكية والتبعيات واختبارات الاستيراد.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أضف الحقول الجديدة بصورة backward-compatible أولًا، ولا تستخدم None إذا كان المشروع يميز Unknown/NotApplicable دلاليًا إلا وفق نمطه المعتمد.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أسماء المخرجات العامة أو JSON keys الحالية من غير versioning وهجرة.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تجعل التوثيق يزعم أن correspondence أو action منفذان إذا أضيفت عقودهما فقط.</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تعالج الفجوات بإضافة تعليقات TODO وحدها؛ إما تنفيذ واختبار، أو Deferred دستوري موثق بسبب واضح.</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تُدخل مكتبة أو إطارًا جديدًا إلا لحاجة مثبتة لا يغطيها الموجود.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منطق التطبيع أو الفهرسة أو الكتالوجات غير المتعلقة بهذا النطاق.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حافظ على البيانات والأمثلة الحالية، ولا تزرع كلمة أو جذرًا أو وزنًا لإرضاء اختبار جديد.</w:t>
      </w:r>
    </w:p>
    <w:p>
      <w:pPr>
        <w:pStyle w:val="Heading1"/>
        <w:pageBreakBefore/>
        <w:jc w:val="right"/>
        <w:bidi w:val="1"/>
      </w:pPr>
      <w:r>
        <w:rPr>
          <w:rFonts w:ascii="Noto Sans Arabic" w:hAnsi="Noto Sans Arabic" w:cs="Noto Sans Arabic" w:eastAsia="Noto Sans Arabic"/>
          <w:b/>
          <w:i w:val="0"/>
          <w:color w:val="16324F"/>
          <w:sz w:val="36"/>
          <w:rtl w:val="1"/>
        </w:rPr>
        <w:t>9. الاختبارات ومعايير القبول</w:t>
      </w:r>
    </w:p>
    <w:p>
      <w:pPr>
        <w:pStyle w:val="Heading2"/>
        <w:jc w:val="right"/>
        <w:bidi w:val="1"/>
      </w:pPr>
      <w:r>
        <w:rPr>
          <w:rFonts w:ascii="Noto Sans Arabic" w:hAnsi="Noto Sans Arabic" w:cs="Noto Sans Arabic" w:eastAsia="Noto Sans Arabic"/>
          <w:b/>
          <w:i w:val="0"/>
          <w:color w:val="245B78"/>
          <w:sz w:val="30"/>
          <w:rtl w:val="1"/>
        </w:rPr>
        <w:t>9.1 خط الأساس</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شغّل الاختبارات كاملة أو أوسع مجموعة ممكنة قبل التعديل وسجل النتيجة.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سجل Node IDs أو manifest للاختبارات إن كان المشروع يستخدم ذلك.</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بعد التنفيذ أعد المجموعة نفسها وقارن الحذف والإضافة والفشل.</w:t>
      </w:r>
    </w:p>
    <w:p>
      <w:pPr>
        <w:pStyle w:val="Heading2"/>
        <w:jc w:val="right"/>
        <w:bidi w:val="1"/>
      </w:pPr>
      <w:r>
        <w:rPr>
          <w:rFonts w:ascii="Noto Sans Arabic" w:hAnsi="Noto Sans Arabic" w:cs="Noto Sans Arabic" w:eastAsia="Noto Sans Arabic"/>
          <w:b/>
          <w:i w:val="0"/>
          <w:color w:val="245B78"/>
          <w:sz w:val="30"/>
          <w:rtl w:val="1"/>
        </w:rPr>
        <w:t>9.2 الاختبارات الجديدة الإلزامية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ClaimProvenance يحفظ السطح الأصلي وسلسلة التحويل.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ConceptContract لا يعد مكتملًا إذا غاب حد لازم أو مجال بلا تصريح؛ ويصدر البقايا الملائمة.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IfadahCandidate لا يمكن تمريره إلى final meaning أو action بواجهة مرخصة.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P12 يبقى terminal IfadahCandidate.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Rank(output) لا يتجاوز أضعف required premise.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تكرار الدليل نفسه لا يرفع الرتبة كتعدد مستقل.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Active blocker ⇒ operational_status != LICENSED.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Missing required evidence ⇒ DEFERRED لا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Outside claim kind/domain ⇒ RESIDUAL أو BLOCKED وفق العقد.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Intrinsic verdict مستقل عن operational status في serialization والمقارنة.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Residuals تنتشر ولا تختفي عند التحويل.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TransitionTrace يحمل from/to/evidence/gates/ranks/residuals/version.</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Domain crossing بلا DomainBridge يفشل.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DomainBridge يطبق rank policy والبقايا.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RepairDirective يرجع إلى مالك سبب الفشل لا إلى n-1 آليًا.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HR2S output يدخل كمرشح/دليل ولا ينتج Licensed مباشرة.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الجذر والوزن والمصدر والمشتقات تُستخرج من مسار Hokom المالك.</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التوافق العكسي لمخرجات JSON القديمة.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تتغير اختبارات P4/P5 الحالية إلا بتبرير دستوري مثبت.</w:t>
      </w:r>
    </w:p>
    <w:p>
      <w:pPr>
        <w:pStyle w:val="Heading2"/>
        <w:jc w:val="right"/>
        <w:bidi w:val="1"/>
      </w:pPr>
      <w:r>
        <w:rPr>
          <w:rFonts w:ascii="Noto Sans Arabic" w:hAnsi="Noto Sans Arabic" w:cs="Noto Sans Arabic" w:eastAsia="Noto Sans Arabic"/>
          <w:b/>
          <w:i w:val="0"/>
          <w:color w:val="245B78"/>
          <w:sz w:val="30"/>
          <w:rtl w:val="1"/>
        </w:rPr>
        <w:t>9.3 اختبارات الخصائص والثوابت</w:t>
      </w:r>
    </w:p>
    <w:p>
      <w:pPr>
        <w:spacing w:after="100" w:line="283" w:lineRule="auto"/>
        <w:jc w:val="right"/>
        <w:keepNext w:val="0"/>
        <w:bidi w:val="1"/>
      </w:pPr>
      <w:r>
        <w:rPr>
          <w:rFonts w:ascii="Amiri" w:hAnsi="Amiri" w:cs="Amiri" w:eastAsia="Amiri"/>
          <w:b w:val="0"/>
          <w:i w:val="0"/>
          <w:color w:val="1F2933"/>
          <w:sz w:val="24"/>
          <w:rtl w:val="1"/>
        </w:rPr>
        <w:t>أضف Property/Invariant tests حيث يناسب نمط المشروع، خصوصًا للرتبة، وانتشار البقايا، ومنع القفز، وحفظ الهوية، وعدم ترخيص مانع نشط. لا تكتفِ بأمثلة قليلة.</w:t>
      </w:r>
    </w:p>
    <w:p>
      <w:pPr>
        <w:pStyle w:val="Heading2"/>
        <w:jc w:val="right"/>
        <w:bidi w:val="1"/>
      </w:pPr>
      <w:r>
        <w:rPr>
          <w:rFonts w:ascii="Noto Sans Arabic" w:hAnsi="Noto Sans Arabic" w:cs="Noto Sans Arabic" w:eastAsia="Noto Sans Arabic"/>
          <w:b/>
          <w:i w:val="0"/>
          <w:color w:val="245B78"/>
          <w:sz w:val="30"/>
          <w:rtl w:val="1"/>
        </w:rPr>
        <w:t>9.4 بوابة القبول</w:t>
      </w:r>
    </w:p>
    <w:tbl>
      <w:tblPr>
        <w:tblW w:type="auto" w:w="0"/>
        <w:jc w:val="center"/>
        <w:tblLook w:firstColumn="1" w:firstRow="1" w:lastColumn="0" w:lastRow="0" w:noHBand="0" w:noVBand="1" w:val="04A0"/>
      </w:tblPr>
      <w:tblGrid>
        <w:gridCol w:w="9524"/>
      </w:tblGrid>
      <w:tr>
        <w:tc>
          <w:tcPr>
            <w:tcW w:type="dxa" w:w="9524"/>
            <w:shd w:fill="F6F0E3"/>
            <w:tcMar>
              <w:top w:w="150" w:type="dxa"/>
              <w:start w:w="190" w:type="dxa"/>
              <w:bottom w:w="150" w:type="dxa"/>
              <w:end w:w="190" w:type="dxa"/>
            </w:tcMar>
          </w:tcPr>
          <w:p>
            <w:pPr>
              <w:jc w:val="right"/>
              <w:bidi w:val="1"/>
            </w:pPr>
            <w:r>
              <w:rPr>
                <w:rFonts w:ascii="Noto Sans Arabic" w:hAnsi="Noto Sans Arabic" w:cs="Noto Sans Arabic" w:eastAsia="Noto Sans Arabic"/>
                <w:b/>
                <w:i w:val="0"/>
                <w:color w:val="16324F"/>
                <w:sz w:val="25"/>
                <w:rtl w:val="1"/>
              </w:rPr>
              <w:t>لا تقبل النتيجة إلا إذا</w:t>
            </w:r>
          </w:p>
          <w:p>
            <w:pPr>
              <w:jc w:val="right"/>
              <w:bidi w:val="1"/>
            </w:pPr>
            <w:r>
              <w:rPr>
                <w:rFonts w:ascii="Amiri" w:hAnsi="Amiri" w:cs="Amiri" w:eastAsia="Amiri"/>
                <w:b w:val="0"/>
                <w:i w:val="0"/>
                <w:color w:val="1F2933"/>
                <w:sz w:val="24"/>
                <w:rtl w:val="1"/>
              </w:rPr>
              <w:t>نجح الخط الأساس، ونجحت الاختبارات الجديدة، ولم يُحذف اختبار بلا تبرير، ولم ينشأ سجل أو نوع مكرر، ولم يُفتح نطاق P6–P12 أو P13، وبقيت الملكيات والرتب والمخرجات متسقة.</w:t>
            </w:r>
          </w:p>
        </w:tc>
      </w:tr>
    </w:tbl>
    <w:p>
      <w:pPr>
        <w:spacing w:after="20"/>
      </w:pPr>
    </w:p>
    <w:p>
      <w:pPr>
        <w:pStyle w:val="Heading1"/>
        <w:pageBreakBefore/>
        <w:jc w:val="right"/>
        <w:bidi w:val="1"/>
      </w:pPr>
      <w:r>
        <w:rPr>
          <w:rFonts w:ascii="Noto Sans Arabic" w:hAnsi="Noto Sans Arabic" w:cs="Noto Sans Arabic" w:eastAsia="Noto Sans Arabic"/>
          <w:b/>
          <w:i w:val="0"/>
          <w:color w:val="16324F"/>
          <w:sz w:val="36"/>
          <w:rtl w:val="1"/>
        </w:rPr>
        <w:t>10. ضوابط Git والتغييرات المحظورة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اعمل في فرع مخصص إذا كانت بيئة العمل تسمح، ولا تدمج إلى main تلقائيًا.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تنشئ commit أو tag أو release أو PR إلا إذا كانت تعليمات المستخدم الحالية تأمر بذلك صراحة.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تعدل ملفات غير مرتبطة بالنطاق، ولا تنظف تنسيق المستودع كاملًا.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تحذف كودًا قديمًا قبل إثبات أن جميع مستهلكيه انتقلوا وأن الاختبارات تغطي ذلك.</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تغير كتالوج Operator أو بقية الأعمدة أو الكلمات إلا إذا كان ذلك مطلوبًا صراحة ضمن هذا التكليف؛ وهو غير مطلوب هنا.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تفتح مراحل تنفيذية جديدة، ولا تعلن constitutional amendment implemented بالكامل إذا بقيت أجزاء موثقة فقط.</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تستخدم network أو مصادر خارجية لتغيير الحقائق الكنسية؛ المستودع والدستور هما الأصل.</w:t>
      </w:r>
    </w:p>
    <w:p>
      <w:pPr>
        <w:pStyle w:val="Heading1"/>
        <w:pageBreakBefore/>
        <w:jc w:val="right"/>
        <w:bidi w:val="1"/>
      </w:pPr>
      <w:r>
        <w:rPr>
          <w:rFonts w:ascii="Noto Sans Arabic" w:hAnsi="Noto Sans Arabic" w:cs="Noto Sans Arabic" w:eastAsia="Noto Sans Arabic"/>
          <w:b/>
          <w:i w:val="0"/>
          <w:color w:val="16324F"/>
          <w:sz w:val="36"/>
          <w:rtl w:val="1"/>
        </w:rPr>
        <w:t>11. شكل التقرير النهائي الإلزامي</w:t>
      </w:r>
    </w:p>
    <w:p>
      <w:pPr>
        <w:spacing w:after="100" w:line="283" w:lineRule="auto"/>
        <w:jc w:val="right"/>
        <w:keepNext w:val="0"/>
        <w:bidi w:val="1"/>
      </w:pPr>
      <w:r>
        <w:rPr>
          <w:rFonts w:ascii="Amiri" w:hAnsi="Amiri" w:cs="Amiri" w:eastAsia="Amiri"/>
          <w:b w:val="0"/>
          <w:i w:val="0"/>
          <w:color w:val="1F2933"/>
          <w:sz w:val="24"/>
          <w:rtl w:val="1"/>
        </w:rPr>
        <w:t>قدم تقريرًا واحدًا واضحًا لا يخفي المؤجلات، بهذا الترتيب:</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القسم</w:t>
            </w:r>
          </w:p>
        </w:tc>
        <w:tc>
          <w:tcPr>
            <w:tcW w:type="dxa" w:w="4762"/>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المحتوى الإلزامي</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VERDICT</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PASS / PASS_WITH_DEFERRED / BLOCKED مع سبب مباشر.</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Repository State</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الفرع، HEAD، الملفات المعدلة قبل العمل وبعده، وما إذا كانت الشجرة هادئة.</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Baseline</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الاختبارات قبل التعديل وNode-ID baseline.</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Audit Findings</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ما كان منفذًا، وما كان جزئيًا، وما كان مجرد توثيق، والتعارضات.</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Ownership Map</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Taaqol / Hokom / Verifier / Correspondence / HR2S والملفات المالكة.</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Implemented Changes</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ملفًا ملفًا وعقدًا عقدًا، مع سبب كل تغيير.</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No-Duplication Proof</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كيف ثبت عدم إنشاء نوع أو سجل أو مسار مكرر.</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Compatibility</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الواجهات القديمة، JSON، الاختبارات، والمستهلكون.</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Tests</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الأوامر والنتائج والفشل إن وجد.</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Constitutional Invariants</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نتيجة كل ثابت إلزامي.</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Deferred Items</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كل بند مؤجل، سببه، مالكه، وما القرار المطلوب.</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Diff Summary</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قائمة الملفات والإضافات والحذف.</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Final Recommendation</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هل الحالة جاهزة للمراجعة والاعتماد، وهل تقترح commit/tag/PR.</w:t>
            </w:r>
          </w:p>
        </w:tc>
      </w:tr>
    </w:tbl>
    <w:p>
      <w:pPr>
        <w:spacing w:after="40"/>
      </w:pPr>
    </w:p>
    <w:p>
      <w:pPr>
        <w:pStyle w:val="Heading1"/>
        <w:pageBreakBefore/>
        <w:jc w:val="right"/>
        <w:bidi w:val="1"/>
      </w:pPr>
      <w:r>
        <w:rPr>
          <w:rFonts w:ascii="Noto Sans Arabic" w:hAnsi="Noto Sans Arabic" w:cs="Noto Sans Arabic" w:eastAsia="Noto Sans Arabic"/>
          <w:b/>
          <w:i w:val="0"/>
          <w:color w:val="16324F"/>
          <w:sz w:val="36"/>
          <w:rtl w:val="1"/>
        </w:rPr>
        <w:t>12. نص الأمر التنفيذي الجاهز للنسخ إلى Qiyas / Claude</w:t>
      </w:r>
    </w:p>
    <w:tbl>
      <w:tblPr>
        <w:tblW w:type="auto" w:w="0"/>
        <w:jc w:val="center"/>
        <w:tblLook w:firstColumn="1" w:firstRow="1" w:lastColumn="0" w:lastRow="0" w:noHBand="0" w:noVBand="1" w:val="04A0"/>
      </w:tblPr>
      <w:tblGrid>
        <w:gridCol w:w="9524"/>
      </w:tblGrid>
      <w:tr>
        <w:tc>
          <w:tcPr>
            <w:tcW w:type="dxa" w:w="9524"/>
            <w:shd w:fill="EAF2F6"/>
            <w:tcMar>
              <w:top w:w="150" w:type="dxa"/>
              <w:start w:w="190" w:type="dxa"/>
              <w:bottom w:w="150" w:type="dxa"/>
              <w:end w:w="190" w:type="dxa"/>
            </w:tcMar>
          </w:tcPr>
          <w:p>
            <w:pPr>
              <w:jc w:val="right"/>
              <w:bidi w:val="1"/>
            </w:pPr>
            <w:r>
              <w:rPr>
                <w:rFonts w:ascii="Noto Sans Arabic" w:hAnsi="Noto Sans Arabic" w:cs="Noto Sans Arabic" w:eastAsia="Noto Sans Arabic"/>
                <w:b/>
                <w:i w:val="0"/>
                <w:color w:val="245B78"/>
                <w:sz w:val="25"/>
                <w:rtl w:val="1"/>
              </w:rPr>
              <w:t>طريقة الاستخدام</w:t>
            </w:r>
          </w:p>
          <w:p>
            <w:pPr>
              <w:jc w:val="right"/>
              <w:bidi w:val="1"/>
            </w:pPr>
            <w:r>
              <w:rPr>
                <w:rFonts w:ascii="Amiri" w:hAnsi="Amiri" w:cs="Amiri" w:eastAsia="Amiri"/>
                <w:b w:val="0"/>
                <w:i w:val="0"/>
                <w:color w:val="1F2933"/>
                <w:sz w:val="24"/>
                <w:rtl w:val="1"/>
              </w:rPr>
              <w:t>انسخ النص الآتي كاملًا إلى Qiyas/Claude داخل بيئة المستودع. أرفق معه وثيقة التعديل الدستوري الأول أو ضع مسارها المحلي. لا تختصره إلى ملخص.</w:t>
            </w:r>
          </w:p>
        </w:tc>
      </w:tr>
    </w:tbl>
    <w:p>
      <w:pPr>
        <w:spacing w:after="20"/>
      </w:pP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right"/>
              <w:bidi w:val="1"/>
            </w:pPr>
            <w:r>
              <w:rPr>
                <w:rFonts w:ascii="DejaVu Sans Mono" w:hAnsi="DejaVu Sans Mono" w:cs="DejaVu Sans Mono" w:eastAsia="DejaVu Sans Mono"/>
                <w:b w:val="0"/>
                <w:i w:val="0"/>
                <w:color w:val="24313A"/>
                <w:sz w:val="18"/>
                <w:rtl w:val="1"/>
              </w:rPr>
              <w:t>أنت Qiyas، والمطلوب منك تنفيذ ملكية دستورية وتنفيذية كاملة في مشروع Hokom–Taaqol، لا إجراء تعديل موضعي. نفّذ المهمة الحالية من البداية إلى النهاية: تدقيق قرائي، مطابقة مع الواقع البرمجي، تنفيذ الفجوات فقط، اختبارات، ثم تقرير نهائي. لا تسأل عن تفاصيل يمكن حسمها من المستودع والدستور، ولا تتوقف عند الخطة إذا كان التنفيذ ممكنًا.</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الهدف:</w:t>
            </w:r>
            <w:r>
              <w:br/>
            </w:r>
            <w:r>
              <w:rPr>
                <w:rFonts w:ascii="DejaVu Sans Mono" w:hAnsi="DejaVu Sans Mono" w:cs="DejaVu Sans Mono" w:eastAsia="DejaVu Sans Mono"/>
                <w:b w:val="0"/>
                <w:i w:val="0"/>
                <w:color w:val="24313A"/>
                <w:sz w:val="18"/>
                <w:rtl w:val="1"/>
              </w:rPr>
              <w:t>إدماج «التعديل الدستوري الأول: منشأ الادعاء، بناء المفهوم، ترخيص الحكم، الأثر، المطابقة، والمراجعة» في المعمار الحالي دون إنشاء سجل طبقات موازٍ، ودون كسر SCG أو P0–P12 أو مخرجات Verifier أو سلم الأدلة أو ملكية Hokom الصرفية.</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حقائق محصنة:</w:t>
            </w:r>
            <w:r>
              <w:br/>
            </w:r>
            <w:r>
              <w:rPr>
                <w:rFonts w:ascii="DejaVu Sans Mono" w:hAnsi="DejaVu Sans Mono" w:cs="DejaVu Sans Mono" w:eastAsia="DejaVu Sans Mono"/>
                <w:b w:val="0"/>
                <w:i w:val="0"/>
                <w:color w:val="24313A"/>
                <w:sz w:val="18"/>
                <w:rtl w:val="1"/>
              </w:rPr>
              <w:t>1. السجل الكنسي الحالي 19 طبقة موزعة على P0–P12؛ لا تعيد ترقيمه ولا تنشئ سجلًا موازيًا.</w:t>
            </w:r>
            <w:r>
              <w:br/>
            </w:r>
            <w:r>
              <w:rPr>
                <w:rFonts w:ascii="DejaVu Sans Mono" w:hAnsi="DejaVu Sans Mono" w:cs="DejaVu Sans Mono" w:eastAsia="DejaVu Sans Mono"/>
                <w:b w:val="0"/>
                <w:i w:val="0"/>
                <w:color w:val="24313A"/>
                <w:sz w:val="18"/>
                <w:rtl w:val="1"/>
              </w:rPr>
              <w:t>2. P12 نهائي من نوع IfadahCandidate ولا يفتح P13 ولا ينتج معنى أو حكمًا نهائيًا.</w:t>
            </w:r>
            <w:r>
              <w:br/>
            </w:r>
            <w:r>
              <w:rPr>
                <w:rFonts w:ascii="DejaVu Sans Mono" w:hAnsi="DejaVu Sans Mono" w:cs="DejaVu Sans Mono" w:eastAsia="DejaVu Sans Mono"/>
                <w:b w:val="0"/>
                <w:i w:val="0"/>
                <w:color w:val="24313A"/>
                <w:sz w:val="18"/>
                <w:rtl w:val="1"/>
              </w:rPr>
              <w:t>3. نطاق Hokom الحالي متوقف عند P5 ما لم يثبت المستودع أو تعليمات لاحقة خلاف ذلك؛ لا تفتح P6–P12 بحجة هذا التعديل.</w:t>
            </w:r>
            <w:r>
              <w:br/>
            </w:r>
            <w:r>
              <w:rPr>
                <w:rFonts w:ascii="DejaVu Sans Mono" w:hAnsi="DejaVu Sans Mono" w:cs="DejaVu Sans Mono" w:eastAsia="DejaVu Sans Mono"/>
                <w:b w:val="0"/>
                <w:i w:val="0"/>
                <w:color w:val="24313A"/>
                <w:sz w:val="18"/>
                <w:rtl w:val="1"/>
              </w:rPr>
              <w:t>4. سلسلة الحكم: الوضع → السبب → الشرط → المانع → العلة → القادح → الصحة → الفساد → البطلان → الأثر → البقايا.</w:t>
            </w:r>
            <w:r>
              <w:br/>
            </w:r>
            <w:r>
              <w:rPr>
                <w:rFonts w:ascii="DejaVu Sans Mono" w:hAnsi="DejaVu Sans Mono" w:cs="DejaVu Sans Mono" w:eastAsia="DejaVu Sans Mono"/>
                <w:b w:val="0"/>
                <w:i w:val="0"/>
                <w:color w:val="24313A"/>
                <w:sz w:val="18"/>
                <w:rtl w:val="1"/>
              </w:rPr>
              <w:t>5. Verifier يخرج Licensed / Blocked / Deferred / Residual.</w:t>
            </w:r>
            <w:r>
              <w:br/>
            </w:r>
            <w:r>
              <w:rPr>
                <w:rFonts w:ascii="DejaVu Sans Mono" w:hAnsi="DejaVu Sans Mono" w:cs="DejaVu Sans Mono" w:eastAsia="DejaVu Sans Mono"/>
                <w:b w:val="0"/>
                <w:i w:val="0"/>
                <w:color w:val="24313A"/>
                <w:sz w:val="18"/>
                <w:rtl w:val="1"/>
              </w:rPr>
              <w:t>6. افصل intrinsic_verdict عن operational_status وعن evidence_rank.</w:t>
            </w:r>
            <w:r>
              <w:br/>
            </w:r>
            <w:r>
              <w:rPr>
                <w:rFonts w:ascii="DejaVu Sans Mono" w:hAnsi="DejaVu Sans Mono" w:cs="DejaVu Sans Mono" w:eastAsia="DejaVu Sans Mono"/>
                <w:b w:val="0"/>
                <w:i w:val="0"/>
                <w:color w:val="24313A"/>
                <w:sz w:val="18"/>
                <w:rtl w:val="1"/>
              </w:rPr>
              <w:t>7. Rank(conclusion) ≤ min Rank(required premises).</w:t>
            </w:r>
            <w:r>
              <w:br/>
            </w:r>
            <w:r>
              <w:rPr>
                <w:rFonts w:ascii="DejaVu Sans Mono" w:hAnsi="DejaVu Sans Mono" w:cs="DejaVu Sans Mono" w:eastAsia="DejaVu Sans Mono"/>
                <w:b w:val="0"/>
                <w:i w:val="0"/>
                <w:color w:val="24313A"/>
                <w:sz w:val="18"/>
                <w:rtl w:val="1"/>
              </w:rPr>
              <w:t>8. المانع النشط يمنع Licensed، والدليل اللازم المفقود ينتج Deferred لا Batil.</w:t>
            </w:r>
            <w:r>
              <w:br/>
            </w:r>
            <w:r>
              <w:rPr>
                <w:rFonts w:ascii="DejaVu Sans Mono" w:hAnsi="DejaVu Sans Mono" w:cs="DejaVu Sans Mono" w:eastAsia="DejaVu Sans Mono"/>
                <w:b w:val="0"/>
                <w:i w:val="0"/>
                <w:color w:val="24313A"/>
                <w:sz w:val="18"/>
                <w:rtl w:val="1"/>
              </w:rPr>
              <w:t>9. الجذر والوزن والمصدر والمشتقات ملك Hokom؛ HR2S مصدر مرشح أو دليل فقط.</w:t>
            </w:r>
            <w:r>
              <w:br/>
            </w:r>
            <w:r>
              <w:rPr>
                <w:rFonts w:ascii="DejaVu Sans Mono" w:hAnsi="DejaVu Sans Mono" w:cs="DejaVu Sans Mono" w:eastAsia="DejaVu Sans Mono"/>
                <w:b w:val="0"/>
                <w:i w:val="0"/>
                <w:color w:val="24313A"/>
                <w:sz w:val="18"/>
                <w:rtl w:val="1"/>
              </w:rPr>
              <w:t>10. لا فعل أو معنى نهائي من Concept أو IfadahCandidate أو CandidateRule مباشرة.</w:t>
            </w:r>
            <w:r>
              <w:br/>
            </w:r>
            <w:r>
              <w:rPr>
                <w:rFonts w:ascii="DejaVu Sans Mono" w:hAnsi="DejaVu Sans Mono" w:cs="DejaVu Sans Mono" w:eastAsia="DejaVu Sans Mono"/>
                <w:b w:val="0"/>
                <w:i w:val="0"/>
                <w:color w:val="24313A"/>
                <w:sz w:val="18"/>
                <w:rtl w:val="1"/>
              </w:rPr>
              <w:t>11. لا زرع لأمثلة مخصوصة، ولا تعديل صامت، ولا ادعاء تنفيذ بمجرد وجود اسم أو وثيقة.</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ترتيب مصادر الحقيقة عند التعارض:</w:t>
            </w:r>
            <w:r>
              <w:br/>
            </w:r>
            <w:r>
              <w:rPr>
                <w:rFonts w:ascii="DejaVu Sans Mono" w:hAnsi="DejaVu Sans Mono" w:cs="DejaVu Sans Mono" w:eastAsia="DejaVu Sans Mono"/>
                <w:b w:val="0"/>
                <w:i w:val="0"/>
                <w:color w:val="24313A"/>
                <w:sz w:val="18"/>
                <w:rtl w:val="1"/>
              </w:rPr>
              <w:t>الدستور والمواد المحصنة → سجل SCG → العقود والمخططات الكنسية → الاختبارات المعتمدة → التنفيذ الجاري → الوثائق التفسيرية.</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المرحلة A — تدقيق قرائي إلزامي قبل أي كتابة:</w:t>
            </w:r>
            <w:r>
              <w:br/>
            </w:r>
            <w:r>
              <w:rPr>
                <w:rFonts w:ascii="DejaVu Sans Mono" w:hAnsi="DejaVu Sans Mono" w:cs="DejaVu Sans Mono" w:eastAsia="DejaVu Sans Mono"/>
                <w:b w:val="0"/>
                <w:i w:val="0"/>
                <w:color w:val="24313A"/>
                <w:sz w:val="18"/>
                <w:rtl w:val="1"/>
              </w:rPr>
              <w:t>- ثبت حالة المستودع والفرع وHEAD والملفات المعدلة.</w:t>
            </w:r>
            <w:r>
              <w:br/>
            </w:r>
            <w:r>
              <w:rPr>
                <w:rFonts w:ascii="DejaVu Sans Mono" w:hAnsi="DejaVu Sans Mono" w:cs="DejaVu Sans Mono" w:eastAsia="DejaVu Sans Mono"/>
                <w:b w:val="0"/>
                <w:i w:val="0"/>
                <w:color w:val="24313A"/>
                <w:sz w:val="18"/>
                <w:rtl w:val="1"/>
              </w:rPr>
              <w:t>- اكتشف المسارات الفعلية ولا تفترضها.</w:t>
            </w:r>
            <w:r>
              <w:br/>
            </w:r>
            <w:r>
              <w:rPr>
                <w:rFonts w:ascii="DejaVu Sans Mono" w:hAnsi="DejaVu Sans Mono" w:cs="DejaVu Sans Mono" w:eastAsia="DejaVu Sans Mono"/>
                <w:b w:val="0"/>
                <w:i w:val="0"/>
                <w:color w:val="24313A"/>
                <w:sz w:val="18"/>
                <w:rtl w:val="1"/>
              </w:rPr>
              <w:t>- اقرأ الدستور وسجل SCG والعقود والschemas والenums ومسارات Verifier وP12 والtrace/residuals.</w:t>
            </w:r>
            <w:r>
              <w:br/>
            </w:r>
            <w:r>
              <w:rPr>
                <w:rFonts w:ascii="DejaVu Sans Mono" w:hAnsi="DejaVu Sans Mono" w:cs="DejaVu Sans Mono" w:eastAsia="DejaVu Sans Mono"/>
                <w:b w:val="0"/>
                <w:i w:val="0"/>
                <w:color w:val="24313A"/>
                <w:sz w:val="18"/>
                <w:rtl w:val="1"/>
              </w:rPr>
              <w:t>- ابحث عن العقود أو المعاني القائمة: ClaimProvenance, ConceptContract, IfadahCandidate, RealityDomain, DomainBridge, Assessment, TransitionTrace, RepairDirective, CorrespondenceAssessment, AuthorityCheck، وسلسلة الوضع/السبب/الشرط/المانع/العلة/القادح/الصحة/الفساد/البطلان.</w:t>
            </w:r>
            <w:r>
              <w:br/>
            </w:r>
            <w:r>
              <w:rPr>
                <w:rFonts w:ascii="DejaVu Sans Mono" w:hAnsi="DejaVu Sans Mono" w:cs="DejaVu Sans Mono" w:eastAsia="DejaVu Sans Mono"/>
                <w:b w:val="0"/>
                <w:i w:val="0"/>
                <w:color w:val="24313A"/>
                <w:sz w:val="18"/>
                <w:rtl w:val="1"/>
              </w:rPr>
              <w:t>- ارسم تدفق البيانات الفعلي وحدد المالك لكل وظيفة.</w:t>
            </w:r>
            <w:r>
              <w:br/>
            </w:r>
            <w:r>
              <w:rPr>
                <w:rFonts w:ascii="DejaVu Sans Mono" w:hAnsi="DejaVu Sans Mono" w:cs="DejaVu Sans Mono" w:eastAsia="DejaVu Sans Mono"/>
                <w:b w:val="0"/>
                <w:i w:val="0"/>
                <w:color w:val="24313A"/>
                <w:sz w:val="18"/>
                <w:rtl w:val="1"/>
              </w:rPr>
              <w:t>- تحقق من ملكية الجذر والوزن والمصدر والمشتقات ومن حدود HR2S.</w:t>
            </w:r>
            <w:r>
              <w:br/>
            </w:r>
            <w:r>
              <w:rPr>
                <w:rFonts w:ascii="DejaVu Sans Mono" w:hAnsi="DejaVu Sans Mono" w:cs="DejaVu Sans Mono" w:eastAsia="DejaVu Sans Mono"/>
                <w:b w:val="0"/>
                <w:i w:val="0"/>
                <w:color w:val="24313A"/>
                <w:sz w:val="18"/>
                <w:rtl w:val="1"/>
              </w:rPr>
              <w:t>- شغّل الاختبارات قبل التعديل وسجل baseline وNode IDs إن أمكن.</w:t>
            </w:r>
            <w:r>
              <w:br/>
            </w:r>
            <w:r>
              <w:rPr>
                <w:rFonts w:ascii="DejaVu Sans Mono" w:hAnsi="DejaVu Sans Mono" w:cs="DejaVu Sans Mono" w:eastAsia="DejaVu Sans Mono"/>
                <w:b w:val="0"/>
                <w:i w:val="0"/>
                <w:color w:val="24313A"/>
                <w:sz w:val="18"/>
                <w:rtl w:val="1"/>
              </w:rPr>
              <w:t>- صنف كل مطلب: IMPLEMENTED / PARTIAL / MISSING / CONFLICT / DOCUMENTED_ONLY / OUT_OF_CURRENT_SCOPE.</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المرحلة B — نفذ الفجوات دون ازدواج:</w:t>
            </w:r>
            <w:r>
              <w:br/>
            </w:r>
            <w:r>
              <w:rPr>
                <w:rFonts w:ascii="DejaVu Sans Mono" w:hAnsi="DejaVu Sans Mono" w:cs="DejaVu Sans Mono" w:eastAsia="DejaVu Sans Mono"/>
                <w:b w:val="0"/>
                <w:i w:val="0"/>
                <w:color w:val="24313A"/>
                <w:sz w:val="18"/>
                <w:rtl w:val="1"/>
              </w:rPr>
              <w:t>1. أضف التعديل الدستوري الأول واربطه بالدستور وفهرس الوثائق الحاكمة.</w:t>
            </w:r>
            <w:r>
              <w:br/>
            </w:r>
            <w:r>
              <w:rPr>
                <w:rFonts w:ascii="DejaVu Sans Mono" w:hAnsi="DejaVu Sans Mono" w:cs="DejaVu Sans Mono" w:eastAsia="DejaVu Sans Mono"/>
                <w:b w:val="0"/>
                <w:i w:val="0"/>
                <w:color w:val="24313A"/>
                <w:sz w:val="18"/>
                <w:rtl w:val="1"/>
              </w:rPr>
              <w:t>2. أعد استعمال الموجود الصحيح، ووسع الأنواع بدل إنشاء نسخ مكررة.</w:t>
            </w:r>
            <w:r>
              <w:br/>
            </w:r>
            <w:r>
              <w:rPr>
                <w:rFonts w:ascii="DejaVu Sans Mono" w:hAnsi="DejaVu Sans Mono" w:cs="DejaVu Sans Mono" w:eastAsia="DejaVu Sans Mono"/>
                <w:b w:val="0"/>
                <w:i w:val="0"/>
                <w:color w:val="24313A"/>
                <w:sz w:val="18"/>
                <w:rtl w:val="1"/>
              </w:rPr>
              <w:t>3. نفذ أو وحّد الحد الأدنى الدلالي للعقود التالية:</w:t>
            </w:r>
            <w:r>
              <w:br/>
            </w:r>
            <w:r>
              <w:rPr>
                <w:rFonts w:ascii="DejaVu Sans Mono" w:hAnsi="DejaVu Sans Mono" w:cs="DejaVu Sans Mono" w:eastAsia="DejaVu Sans Mono"/>
                <w:b w:val="0"/>
                <w:i w:val="0"/>
                <w:color w:val="24313A"/>
                <w:sz w:val="18"/>
                <w:rtl w:val="1"/>
              </w:rPr>
              <w:t xml:space="preserve">   - ClaimProvenance</w:t>
            </w:r>
            <w:r>
              <w:br/>
            </w:r>
            <w:r>
              <w:rPr>
                <w:rFonts w:ascii="DejaVu Sans Mono" w:hAnsi="DejaVu Sans Mono" w:cs="DejaVu Sans Mono" w:eastAsia="DejaVu Sans Mono"/>
                <w:b w:val="0"/>
                <w:i w:val="0"/>
                <w:color w:val="24313A"/>
                <w:sz w:val="18"/>
                <w:rtl w:val="1"/>
              </w:rPr>
              <w:t xml:space="preserve">   - ConceptContract</w:t>
            </w:r>
            <w:r>
              <w:br/>
            </w:r>
            <w:r>
              <w:rPr>
                <w:rFonts w:ascii="DejaVu Sans Mono" w:hAnsi="DejaVu Sans Mono" w:cs="DejaVu Sans Mono" w:eastAsia="DejaVu Sans Mono"/>
                <w:b w:val="0"/>
                <w:i w:val="0"/>
                <w:color w:val="24313A"/>
                <w:sz w:val="18"/>
                <w:rtl w:val="1"/>
              </w:rPr>
              <w:t xml:space="preserve">   - IfadahCandidate</w:t>
            </w:r>
            <w:r>
              <w:br/>
            </w:r>
            <w:r>
              <w:rPr>
                <w:rFonts w:ascii="DejaVu Sans Mono" w:hAnsi="DejaVu Sans Mono" w:cs="DejaVu Sans Mono" w:eastAsia="DejaVu Sans Mono"/>
                <w:b w:val="0"/>
                <w:i w:val="0"/>
                <w:color w:val="24313A"/>
                <w:sz w:val="18"/>
                <w:rtl w:val="1"/>
              </w:rPr>
              <w:t xml:space="preserve">   - RealityDomain</w:t>
            </w:r>
            <w:r>
              <w:br/>
            </w:r>
            <w:r>
              <w:rPr>
                <w:rFonts w:ascii="DejaVu Sans Mono" w:hAnsi="DejaVu Sans Mono" w:cs="DejaVu Sans Mono" w:eastAsia="DejaVu Sans Mono"/>
                <w:b w:val="0"/>
                <w:i w:val="0"/>
                <w:color w:val="24313A"/>
                <w:sz w:val="18"/>
                <w:rtl w:val="1"/>
              </w:rPr>
              <w:t xml:space="preserve">   - DomainBridge</w:t>
            </w:r>
            <w:r>
              <w:br/>
            </w:r>
            <w:r>
              <w:rPr>
                <w:rFonts w:ascii="DejaVu Sans Mono" w:hAnsi="DejaVu Sans Mono" w:cs="DejaVu Sans Mono" w:eastAsia="DejaVu Sans Mono"/>
                <w:b w:val="0"/>
                <w:i w:val="0"/>
                <w:color w:val="24313A"/>
                <w:sz w:val="18"/>
                <w:rtl w:val="1"/>
              </w:rPr>
              <w:t xml:space="preserve">   - Assessment بفصل intrinsic_verdict / operational_status / evidence_rank</w:t>
            </w:r>
            <w:r>
              <w:br/>
            </w:r>
            <w:r>
              <w:rPr>
                <w:rFonts w:ascii="DejaVu Sans Mono" w:hAnsi="DejaVu Sans Mono" w:cs="DejaVu Sans Mono" w:eastAsia="DejaVu Sans Mono"/>
                <w:b w:val="0"/>
                <w:i w:val="0"/>
                <w:color w:val="24313A"/>
                <w:sz w:val="18"/>
                <w:rtl w:val="1"/>
              </w:rPr>
              <w:t xml:space="preserve">   - TransitionTrace</w:t>
            </w:r>
            <w:r>
              <w:br/>
            </w:r>
            <w:r>
              <w:rPr>
                <w:rFonts w:ascii="DejaVu Sans Mono" w:hAnsi="DejaVu Sans Mono" w:cs="DejaVu Sans Mono" w:eastAsia="DejaVu Sans Mono"/>
                <w:b w:val="0"/>
                <w:i w:val="0"/>
                <w:color w:val="24313A"/>
                <w:sz w:val="18"/>
                <w:rtl w:val="1"/>
              </w:rPr>
              <w:t xml:space="preserve">   - RepairDirective</w:t>
            </w:r>
            <w:r>
              <w:br/>
            </w:r>
            <w:r>
              <w:rPr>
                <w:rFonts w:ascii="DejaVu Sans Mono" w:hAnsi="DejaVu Sans Mono" w:cs="DejaVu Sans Mono" w:eastAsia="DejaVu Sans Mono"/>
                <w:b w:val="0"/>
                <w:i w:val="0"/>
                <w:color w:val="24313A"/>
                <w:sz w:val="18"/>
                <w:rtl w:val="1"/>
              </w:rPr>
              <w:t xml:space="preserve">   - ApplicationAssessment</w:t>
            </w:r>
            <w:r>
              <w:br/>
            </w:r>
            <w:r>
              <w:rPr>
                <w:rFonts w:ascii="DejaVu Sans Mono" w:hAnsi="DejaVu Sans Mono" w:cs="DejaVu Sans Mono" w:eastAsia="DejaVu Sans Mono"/>
                <w:b w:val="0"/>
                <w:i w:val="0"/>
                <w:color w:val="24313A"/>
                <w:sz w:val="18"/>
                <w:rtl w:val="1"/>
              </w:rPr>
              <w:t xml:space="preserve">   - AuthorityCheck</w:t>
            </w:r>
            <w:r>
              <w:br/>
            </w:r>
            <w:r>
              <w:rPr>
                <w:rFonts w:ascii="DejaVu Sans Mono" w:hAnsi="DejaVu Sans Mono" w:cs="DejaVu Sans Mono" w:eastAsia="DejaVu Sans Mono"/>
                <w:b w:val="0"/>
                <w:i w:val="0"/>
                <w:color w:val="24313A"/>
                <w:sz w:val="18"/>
                <w:rtl w:val="1"/>
              </w:rPr>
              <w:t xml:space="preserve">   - CorrespondenceAssessment</w:t>
            </w:r>
            <w:r>
              <w:br/>
            </w:r>
            <w:r>
              <w:rPr>
                <w:rFonts w:ascii="DejaVu Sans Mono" w:hAnsi="DejaVu Sans Mono" w:cs="DejaVu Sans Mono" w:eastAsia="DejaVu Sans Mono"/>
                <w:b w:val="0"/>
                <w:i w:val="0"/>
                <w:color w:val="24313A"/>
                <w:sz w:val="18"/>
                <w:rtl w:val="1"/>
              </w:rPr>
              <w:t>4. إذا كان application/action/correspondence خارج نطاق P5، أضف العقود والحدود والاختبارات السلبية فقط، ولا تفعّل مسارًا يفتح طبقات لاحقة.</w:t>
            </w:r>
            <w:r>
              <w:br/>
            </w:r>
            <w:r>
              <w:rPr>
                <w:rFonts w:ascii="DejaVu Sans Mono" w:hAnsi="DejaVu Sans Mono" w:cs="DejaVu Sans Mono" w:eastAsia="DejaVu Sans Mono"/>
                <w:b w:val="0"/>
                <w:i w:val="0"/>
                <w:color w:val="24313A"/>
                <w:sz w:val="18"/>
                <w:rtl w:val="1"/>
              </w:rPr>
              <w:t>5. أضف invariants/validators لحفظ الهوية والمجال والدليل والرتبة والبقايا والأثر ومنع القفز.</w:t>
            </w:r>
            <w:r>
              <w:br/>
            </w:r>
            <w:r>
              <w:rPr>
                <w:rFonts w:ascii="DejaVu Sans Mono" w:hAnsi="DejaVu Sans Mono" w:cs="DejaVu Sans Mono" w:eastAsia="DejaVu Sans Mono"/>
                <w:b w:val="0"/>
                <w:i w:val="0"/>
                <w:color w:val="24313A"/>
                <w:sz w:val="18"/>
                <w:rtl w:val="1"/>
              </w:rPr>
              <w:t>6. لا تستخدم قيمًا مزروعة عند نقص البيانات؛ استخدم Unknown/Deferred/NotApplicable وفق نمط المشروع.</w:t>
            </w:r>
            <w:r>
              <w:br/>
            </w:r>
            <w:r>
              <w:rPr>
                <w:rFonts w:ascii="DejaVu Sans Mono" w:hAnsi="DejaVu Sans Mono" w:cs="DejaVu Sans Mono" w:eastAsia="DejaVu Sans Mono"/>
                <w:b w:val="0"/>
                <w:i w:val="0"/>
                <w:color w:val="24313A"/>
                <w:sz w:val="18"/>
                <w:rtl w:val="1"/>
              </w:rPr>
              <w:t>7. حافظ على التوافق العكسي للواجهات وJSON، واستخدم versioning أو adapters عند الحاجة.</w:t>
            </w:r>
            <w:r>
              <w:br/>
            </w:r>
            <w:r>
              <w:rPr>
                <w:rFonts w:ascii="DejaVu Sans Mono" w:hAnsi="DejaVu Sans Mono" w:cs="DejaVu Sans Mono" w:eastAsia="DejaVu Sans Mono"/>
                <w:b w:val="0"/>
                <w:i w:val="0"/>
                <w:color w:val="24313A"/>
                <w:sz w:val="18"/>
                <w:rtl w:val="1"/>
              </w:rPr>
              <w:t>8. لا تنقل المنطق الصرفي إلى HR2S ولا تسمح له بإصدار Licensed.</w:t>
            </w:r>
            <w:r>
              <w:br/>
            </w:r>
            <w:r>
              <w:rPr>
                <w:rFonts w:ascii="DejaVu Sans Mono" w:hAnsi="DejaVu Sans Mono" w:cs="DejaVu Sans Mono" w:eastAsia="DejaVu Sans Mono"/>
                <w:b w:val="0"/>
                <w:i w:val="0"/>
                <w:color w:val="24313A"/>
                <w:sz w:val="18"/>
                <w:rtl w:val="1"/>
              </w:rPr>
              <w:t>9. لا تنشئ P13 أو سجلًا من 11 مرحلة باسم SLGE.</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المرحلة C — الاختبارات الإلزامية:</w:t>
            </w:r>
            <w:r>
              <w:br/>
            </w:r>
            <w:r>
              <w:rPr>
                <w:rFonts w:ascii="DejaVu Sans Mono" w:hAnsi="DejaVu Sans Mono" w:cs="DejaVu Sans Mono" w:eastAsia="DejaVu Sans Mono"/>
                <w:b w:val="0"/>
                <w:i w:val="0"/>
                <w:color w:val="24313A"/>
                <w:sz w:val="18"/>
                <w:rtl w:val="1"/>
              </w:rPr>
              <w:t>- حفظ ClaimProvenance وسلسلة التحويل.</w:t>
            </w:r>
            <w:r>
              <w:br/>
            </w:r>
            <w:r>
              <w:rPr>
                <w:rFonts w:ascii="DejaVu Sans Mono" w:hAnsi="DejaVu Sans Mono" w:cs="DejaVu Sans Mono" w:eastAsia="DejaVu Sans Mono"/>
                <w:b w:val="0"/>
                <w:i w:val="0"/>
                <w:color w:val="24313A"/>
                <w:sz w:val="18"/>
                <w:rtl w:val="1"/>
              </w:rPr>
              <w:t>- اكتمال ConceptContract وإظهار البقايا عند النقص.</w:t>
            </w:r>
            <w:r>
              <w:br/>
            </w:r>
            <w:r>
              <w:rPr>
                <w:rFonts w:ascii="DejaVu Sans Mono" w:hAnsi="DejaVu Sans Mono" w:cs="DejaVu Sans Mono" w:eastAsia="DejaVu Sans Mono"/>
                <w:b w:val="0"/>
                <w:i w:val="0"/>
                <w:color w:val="24313A"/>
                <w:sz w:val="18"/>
                <w:rtl w:val="1"/>
              </w:rPr>
              <w:t>- منع انتقال IfadahCandidate إلى final meaning/action.</w:t>
            </w:r>
            <w:r>
              <w:br/>
            </w:r>
            <w:r>
              <w:rPr>
                <w:rFonts w:ascii="DejaVu Sans Mono" w:hAnsi="DejaVu Sans Mono" w:cs="DejaVu Sans Mono" w:eastAsia="DejaVu Sans Mono"/>
                <w:b w:val="0"/>
                <w:i w:val="0"/>
                <w:color w:val="24313A"/>
                <w:sz w:val="18"/>
                <w:rtl w:val="1"/>
              </w:rPr>
              <w:t>- بقاء P12 terminal IfadahCandidate.</w:t>
            </w:r>
            <w:r>
              <w:br/>
            </w:r>
            <w:r>
              <w:rPr>
                <w:rFonts w:ascii="DejaVu Sans Mono" w:hAnsi="DejaVu Sans Mono" w:cs="DejaVu Sans Mono" w:eastAsia="DejaVu Sans Mono"/>
                <w:b w:val="0"/>
                <w:i w:val="0"/>
                <w:color w:val="24313A"/>
                <w:sz w:val="18"/>
                <w:rtl w:val="1"/>
              </w:rPr>
              <w:t>- حفظ قانون الرتبة وعدم رفعها بتكرار الدليل نفسه.</w:t>
            </w:r>
            <w:r>
              <w:br/>
            </w:r>
            <w:r>
              <w:rPr>
                <w:rFonts w:ascii="DejaVu Sans Mono" w:hAnsi="DejaVu Sans Mono" w:cs="DejaVu Sans Mono" w:eastAsia="DejaVu Sans Mono"/>
                <w:b w:val="0"/>
                <w:i w:val="0"/>
                <w:color w:val="24313A"/>
                <w:sz w:val="18"/>
                <w:rtl w:val="1"/>
              </w:rPr>
              <w:t>- active blocker يمنع Licensed.</w:t>
            </w:r>
            <w:r>
              <w:br/>
            </w:r>
            <w:r>
              <w:rPr>
                <w:rFonts w:ascii="DejaVu Sans Mono" w:hAnsi="DejaVu Sans Mono" w:cs="DejaVu Sans Mono" w:eastAsia="DejaVu Sans Mono"/>
                <w:b w:val="0"/>
                <w:i w:val="0"/>
                <w:color w:val="24313A"/>
                <w:sz w:val="18"/>
                <w:rtl w:val="1"/>
              </w:rPr>
              <w:t>- missing required evidence ينتج Deferred لا Batil.</w:t>
            </w:r>
            <w:r>
              <w:br/>
            </w:r>
            <w:r>
              <w:rPr>
                <w:rFonts w:ascii="DejaVu Sans Mono" w:hAnsi="DejaVu Sans Mono" w:cs="DejaVu Sans Mono" w:eastAsia="DejaVu Sans Mono"/>
                <w:b w:val="0"/>
                <w:i w:val="0"/>
                <w:color w:val="24313A"/>
                <w:sz w:val="18"/>
                <w:rtl w:val="1"/>
              </w:rPr>
              <w:t>- الفصل بين intrinsic verdict وoperational status في البيانات والserialization.</w:t>
            </w:r>
            <w:r>
              <w:br/>
            </w:r>
            <w:r>
              <w:rPr>
                <w:rFonts w:ascii="DejaVu Sans Mono" w:hAnsi="DejaVu Sans Mono" w:cs="DejaVu Sans Mono" w:eastAsia="DejaVu Sans Mono"/>
                <w:b w:val="0"/>
                <w:i w:val="0"/>
                <w:color w:val="24313A"/>
                <w:sz w:val="18"/>
                <w:rtl w:val="1"/>
              </w:rPr>
              <w:t>- انتشار residuals وعدم إسقاطها.</w:t>
            </w:r>
            <w:r>
              <w:br/>
            </w:r>
            <w:r>
              <w:rPr>
                <w:rFonts w:ascii="DejaVu Sans Mono" w:hAnsi="DejaVu Sans Mono" w:cs="DejaVu Sans Mono" w:eastAsia="DejaVu Sans Mono"/>
                <w:b w:val="0"/>
                <w:i w:val="0"/>
                <w:color w:val="24313A"/>
                <w:sz w:val="18"/>
                <w:rtl w:val="1"/>
              </w:rPr>
              <w:t>- اكتمال TransitionTrace.</w:t>
            </w:r>
            <w:r>
              <w:br/>
            </w:r>
            <w:r>
              <w:rPr>
                <w:rFonts w:ascii="DejaVu Sans Mono" w:hAnsi="DejaVu Sans Mono" w:cs="DejaVu Sans Mono" w:eastAsia="DejaVu Sans Mono"/>
                <w:b w:val="0"/>
                <w:i w:val="0"/>
                <w:color w:val="24313A"/>
                <w:sz w:val="18"/>
                <w:rtl w:val="1"/>
              </w:rPr>
              <w:t>- منع العبور بين المجالات بلا DomainBridge.</w:t>
            </w:r>
            <w:r>
              <w:br/>
            </w:r>
            <w:r>
              <w:rPr>
                <w:rFonts w:ascii="DejaVu Sans Mono" w:hAnsi="DejaVu Sans Mono" w:cs="DejaVu Sans Mono" w:eastAsia="DejaVu Sans Mono"/>
                <w:b w:val="0"/>
                <w:i w:val="0"/>
                <w:color w:val="24313A"/>
                <w:sz w:val="18"/>
                <w:rtl w:val="1"/>
              </w:rPr>
              <w:t>- RepairDirective يرجع إلى مالك سبب الفشل.</w:t>
            </w:r>
            <w:r>
              <w:br/>
            </w:r>
            <w:r>
              <w:rPr>
                <w:rFonts w:ascii="DejaVu Sans Mono" w:hAnsi="DejaVu Sans Mono" w:cs="DejaVu Sans Mono" w:eastAsia="DejaVu Sans Mono"/>
                <w:b w:val="0"/>
                <w:i w:val="0"/>
                <w:color w:val="24313A"/>
                <w:sz w:val="18"/>
                <w:rtl w:val="1"/>
              </w:rPr>
              <w:t>- HR2S output مرشح/دليل فقط.</w:t>
            </w:r>
            <w:r>
              <w:br/>
            </w:r>
            <w:r>
              <w:rPr>
                <w:rFonts w:ascii="DejaVu Sans Mono" w:hAnsi="DejaVu Sans Mono" w:cs="DejaVu Sans Mono" w:eastAsia="DejaVu Sans Mono"/>
                <w:b w:val="0"/>
                <w:i w:val="0"/>
                <w:color w:val="24313A"/>
                <w:sz w:val="18"/>
                <w:rtl w:val="1"/>
              </w:rPr>
              <w:t>- ملكية Hokom للجذر والوزن والمصدر والمشتقات.</w:t>
            </w:r>
            <w:r>
              <w:br/>
            </w:r>
            <w:r>
              <w:rPr>
                <w:rFonts w:ascii="DejaVu Sans Mono" w:hAnsi="DejaVu Sans Mono" w:cs="DejaVu Sans Mono" w:eastAsia="DejaVu Sans Mono"/>
                <w:b w:val="0"/>
                <w:i w:val="0"/>
                <w:color w:val="24313A"/>
                <w:sz w:val="18"/>
                <w:rtl w:val="1"/>
              </w:rPr>
              <w:t>- التوافق العكسي وعدم تراجع اختبارات P4/P5.</w:t>
            </w:r>
            <w:r>
              <w:br/>
            </w:r>
            <w:r>
              <w:rPr>
                <w:rFonts w:ascii="DejaVu Sans Mono" w:hAnsi="DejaVu Sans Mono" w:cs="DejaVu Sans Mono" w:eastAsia="DejaVu Sans Mono"/>
                <w:b w:val="0"/>
                <w:i w:val="0"/>
                <w:color w:val="24313A"/>
                <w:sz w:val="18"/>
                <w:rtl w:val="1"/>
              </w:rPr>
              <w:t>- أضف property/invariant tests حيث يناسب.</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بوابة القبول:</w:t>
            </w:r>
            <w:r>
              <w:br/>
            </w:r>
            <w:r>
              <w:rPr>
                <w:rFonts w:ascii="DejaVu Sans Mono" w:hAnsi="DejaVu Sans Mono" w:cs="DejaVu Sans Mono" w:eastAsia="DejaVu Sans Mono"/>
                <w:b w:val="0"/>
                <w:i w:val="0"/>
                <w:color w:val="24313A"/>
                <w:sz w:val="18"/>
                <w:rtl w:val="1"/>
              </w:rPr>
              <w:t>لا تعتبر المهمة مكتملة إذا فشل baseline بلا تبرير، أو حُذف اختبار بلا سبب، أو نشأ نوع/سجل/مسار مكرر، أو فُتح P6–P12/P13، أو اختلطت الرتبة بالحالة، أو اختفت البقايا، أو تغيرت ملكية الصرف.</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ضوابط Git:</w:t>
            </w:r>
            <w:r>
              <w:br/>
            </w:r>
            <w:r>
              <w:rPr>
                <w:rFonts w:ascii="DejaVu Sans Mono" w:hAnsi="DejaVu Sans Mono" w:cs="DejaVu Sans Mono" w:eastAsia="DejaVu Sans Mono"/>
                <w:b w:val="0"/>
                <w:i w:val="0"/>
                <w:color w:val="24313A"/>
                <w:sz w:val="18"/>
                <w:rtl w:val="1"/>
              </w:rPr>
              <w:t>لا تنشئ commit أو tag أو release أو PR ولا تدمج إلى main إلا إذا كانت تعليمات المستخدم الحالية تأمر بذلك صراحة. اترك التغييرات قابلة للمراجعة وقدم diff واضحًا.</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التقرير النهائي الإلزامي:</w:t>
            </w:r>
            <w:r>
              <w:br/>
            </w:r>
            <w:r>
              <w:rPr>
                <w:rFonts w:ascii="DejaVu Sans Mono" w:hAnsi="DejaVu Sans Mono" w:cs="DejaVu Sans Mono" w:eastAsia="DejaVu Sans Mono"/>
                <w:b w:val="0"/>
                <w:i w:val="0"/>
                <w:color w:val="24313A"/>
                <w:sz w:val="18"/>
                <w:rtl w:val="1"/>
              </w:rPr>
              <w:t>VERDICT؛ Repository State؛ Baseline؛ Audit Findings؛ Ownership Map؛ Implemented Changes؛ No-Duplication Proof؛ Compatibility؛ Tests؛ Constitutional Invariants؛ Deferred Items؛ Diff Summary؛ Final Recommendation.</w:t>
            </w:r>
            <w:r>
              <w:br/>
            </w:r>
            <w:r>
              <w:rPr>
                <w:rFonts w:ascii="DejaVu Sans Mono" w:hAnsi="DejaVu Sans Mono" w:cs="DejaVu Sans Mono" w:eastAsia="DejaVu Sans Mono"/>
                <w:b w:val="0"/>
                <w:i w:val="0"/>
                <w:color w:val="24313A"/>
                <w:sz w:val="18"/>
                <w:rtl w:val="1"/>
              </w:rPr>
            </w:r>
            <w:r>
              <w:br/>
            </w:r>
            <w:r>
              <w:rPr>
                <w:rFonts w:ascii="DejaVu Sans Mono" w:hAnsi="DejaVu Sans Mono" w:cs="DejaVu Sans Mono" w:eastAsia="DejaVu Sans Mono"/>
                <w:b w:val="0"/>
                <w:i w:val="0"/>
                <w:color w:val="24313A"/>
                <w:sz w:val="18"/>
                <w:rtl w:val="1"/>
              </w:rPr>
              <w:t>ابدأ الآن بالتدقيق القرائي، ثم نفذ كامل النطاق الممكن، ثم اختبر وقدم التقرير. لا تكتفِ بخطة أو ملخص.</w:t>
            </w:r>
          </w:p>
        </w:tc>
      </w:tr>
    </w:tbl>
    <w:p>
      <w:pPr>
        <w:spacing w:after="20"/>
      </w:pPr>
    </w:p>
    <w:tbl>
      <w:tblPr>
        <w:tblW w:type="auto" w:w="0"/>
        <w:jc w:val="center"/>
        <w:tblLook w:firstColumn="1" w:firstRow="1" w:lastColumn="0" w:lastRow="0" w:noHBand="0" w:noVBand="1" w:val="04A0"/>
      </w:tblPr>
      <w:tblGrid>
        <w:gridCol w:w="9524"/>
      </w:tblGrid>
      <w:tr>
        <w:tc>
          <w:tcPr>
            <w:tcW w:type="dxa" w:w="9524"/>
            <w:shd w:fill="EAF4EF"/>
            <w:tcMar>
              <w:top w:w="150" w:type="dxa"/>
              <w:start w:w="190" w:type="dxa"/>
              <w:bottom w:w="150" w:type="dxa"/>
              <w:end w:w="190" w:type="dxa"/>
            </w:tcMar>
          </w:tcPr>
          <w:p>
            <w:pPr>
              <w:jc w:val="right"/>
              <w:bidi w:val="1"/>
            </w:pPr>
            <w:r>
              <w:rPr>
                <w:rFonts w:ascii="Noto Sans Arabic" w:hAnsi="Noto Sans Arabic" w:cs="Noto Sans Arabic" w:eastAsia="Noto Sans Arabic"/>
                <w:b/>
                <w:i w:val="0"/>
                <w:color w:val="2E6B4F"/>
                <w:sz w:val="25"/>
                <w:rtl w:val="1"/>
              </w:rPr>
              <w:t>معيار نجاح هذا التكليف</w:t>
            </w:r>
          </w:p>
          <w:p>
            <w:pPr>
              <w:jc w:val="right"/>
              <w:bidi w:val="1"/>
            </w:pPr>
            <w:r>
              <w:rPr>
                <w:rFonts w:ascii="Amiri" w:hAnsi="Amiri" w:cs="Amiri" w:eastAsia="Amiri"/>
                <w:b w:val="0"/>
                <w:i w:val="0"/>
                <w:color w:val="1F2933"/>
                <w:sz w:val="24"/>
                <w:rtl w:val="1"/>
              </w:rPr>
              <w:t>النجاح ليس كثرة الملفات المعدلة، بل أن تصبح الحدود أوضح، والعقود موحدة، والبقايا مرئية، والرتب محفوظة، والتدفقات القديمة مستقرة، ولا تنشأ ملكية مزدوجة.</w:t>
            </w:r>
          </w:p>
        </w:tc>
      </w:tr>
    </w:tbl>
    <w:p>
      <w:pPr>
        <w:spacing w:after="20"/>
      </w:pPr>
    </w:p>
    <w:sectPr w:rsidR="00FC693F" w:rsidRPr="0006063C" w:rsidSect="00034616">
      <w:headerReference w:type="default" r:id="rId9"/>
      <w:footerReference w:type="default" r:id="rId10"/>
      <w:pgSz w:w="11906" w:h="16838"/>
      <w:pgMar w:top="1134" w:right="1191"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Noto Sans Arabic" w:hAnsi="Noto Sans Arabic" w:cs="Noto Sans Arabic" w:eastAsia="Noto Sans Arabic"/>
        <w:b w:val="0"/>
        <w:i w:val="0"/>
        <w:color w:val="52616B"/>
        <w:sz w:val="18"/>
        <w:rtl w:val="1"/>
      </w:rPr>
      <w:t xml:space="preserve">Hokom–Taaqol  |  الإصدار 1.0  |  صفحة </w:t>
    </w:r>
    <w:r>
      <w:rPr>
        <w:rFonts w:ascii="Noto Sans Arabic" w:hAnsi="Noto Sans Arabic" w:cs="Noto Sans Arabic" w:eastAsia="Noto Sans Arabic"/>
        <w:b w:val="0"/>
        <w:i w:val="0"/>
        <w:color w:val="52616B"/>
        <w:sz w:val="18"/>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Bdr>
        <w:bottom w:val="single" w:sz="6" w:space="3" w:color="D9E0E4"/>
      </w:pBdr>
    </w:pPr>
    <w:r>
      <w:rPr>
        <w:rFonts w:ascii="Noto Sans Arabic" w:hAnsi="Noto Sans Arabic" w:cs="Noto Sans Arabic" w:eastAsia="Noto Sans Arabic"/>
        <w:b/>
        <w:i w:val="0"/>
        <w:color w:val="52616B"/>
        <w:sz w:val="18"/>
        <w:rtl w:val="1"/>
      </w:rPr>
      <w:t>التكليف التنفيذي الشامل إلى Qiyas/Claude — تنفيذ التعديل الدستوري الأول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miri" w:hAnsi="Amiri" w:cs="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Arabic" w:hAnsi="Noto Sans Arabic" w:cs="Noto Sans Arabic"/>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Arabic" w:hAnsi="Noto Sans Arabic" w:cs="Noto Sans Arabic"/>
      <w:b/>
      <w:bCs/>
      <w:color w:val="245B78"/>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Arabic" w:hAnsi="Noto Sans Arabic" w:cs="Noto Sans Arabic"/>
      <w:b/>
      <w:bCs/>
      <w:color w:val="2F6F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ans Arabic" w:hAnsi="Noto Sans Arabic" w:cs="Noto Sans Arabic"/>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Noto Sans Arabic" w:hAnsi="Noto Sans Arabic" w:cs="Noto Sans Arabic"/>
      <w:b/>
      <w:i/>
      <w:iCs/>
      <w:color w:val="245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line="252" w:lineRule="auto"/>
      <w:ind w:left="227" w:right="227"/>
    </w:pPr>
    <w:rPr>
      <w:rFonts w:ascii="DejaVu Sans Mono" w:hAnsi="DejaVu Sans Mono" w:cs="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