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83" w:lineRule="auto"/>
        <w:jc w:val="right"/>
        <w:keepNext w:val="0"/>
        <w:bidi w:val="1"/>
      </w:pPr>
      <w:r>
        <w:rPr>
          <w:rFonts w:ascii="Amiri" w:hAnsi="Amiri" w:cs="Amiri" w:eastAsia="Amiri"/>
          <w:b w:val="0"/>
          <w:i w:val="0"/>
          <w:color w:val="1F2933"/>
          <w:sz w:val="24"/>
          <w:rtl w:val="1"/>
        </w:rPr>
      </w:r>
    </w:p>
    <w:p>
      <w:pPr>
        <w:jc w:val="right"/>
        <w:bidi w:val="1"/>
      </w:pPr>
      <w:r>
        <w:rPr>
          <w:rFonts w:ascii="Noto Sans Arabic" w:hAnsi="Noto Sans Arabic" w:cs="Noto Sans Arabic" w:eastAsia="Noto Sans Arabic"/>
          <w:b/>
          <w:i w:val="0"/>
          <w:color w:val="B58A3B"/>
          <w:sz w:val="34"/>
          <w:rtl w:val="1"/>
        </w:rPr>
        <w:t>HOKOM–TAAQOL</w:t>
      </w:r>
    </w:p>
    <w:p>
      <w:pPr>
        <w:pStyle w:val="Title"/>
        <w:jc w:val="right"/>
        <w:bidi w:val="1"/>
      </w:pPr>
      <w:r>
        <w:rPr>
          <w:rFonts w:ascii="Noto Sans Arabic" w:hAnsi="Noto Sans Arabic" w:cs="Noto Sans Arabic" w:eastAsia="Noto Sans Arabic"/>
          <w:b/>
          <w:i w:val="0"/>
          <w:color w:val="16324F"/>
          <w:sz w:val="52"/>
          <w:rtl w:val="1"/>
        </w:rPr>
        <w:t>التكليف التنفيذي الشامل</w:t>
      </w:r>
    </w:p>
    <w:p>
      <w:pPr>
        <w:pStyle w:val="Subtitle"/>
        <w:jc w:val="right"/>
        <w:bidi w:val="1"/>
      </w:pPr>
      <w:r>
        <w:rPr>
          <w:rFonts w:ascii="Noto Sans Arabic" w:hAnsi="Noto Sans Arabic" w:cs="Noto Sans Arabic" w:eastAsia="Noto Sans Arabic"/>
          <w:b/>
          <w:i w:val="0"/>
          <w:color w:val="245B78"/>
          <w:sz w:val="29"/>
          <w:rtl w:val="1"/>
        </w:rPr>
        <w:t>إلى Qiyas / Claude لتنفيذ التعديل الدستوري الأول في Hokom–Taaqol دون ازدواج أو كسر للسجل الكنسي</w:t>
      </w:r>
    </w:p>
    <w:p>
      <w:pPr>
        <w:spacing w:after="100" w:line="283" w:lineRule="auto"/>
        <w:jc w:val="right"/>
        <w:keepNext w:val="0"/>
        <w:bidi w:val="1"/>
      </w:pPr>
      <w:r>
        <w:rPr>
          <w:rFonts w:ascii="Amiri" w:hAnsi="Amiri" w:cs="Amiri" w:eastAsia="Amiri"/>
          <w:b w:val="0"/>
          <w:i w:val="0"/>
          <w:color w:val="1F2933"/>
          <w:sz w:val="24"/>
          <w:rtl w:val="1"/>
        </w:rPr>
      </w:r>
    </w:p>
    <w:tbl>
      <w:tblPr>
        <w:tblW w:type="auto" w:w="0"/>
        <w:jc w:val="center"/>
        <w:tblLook w:firstColumn="1" w:firstRow="1" w:lastColumn="0" w:lastRow="0" w:noHBand="0" w:noVBand="1" w:val="04A0"/>
      </w:tblPr>
      <w:tblGrid>
        <w:gridCol w:w="9524"/>
      </w:tblGrid>
      <w:tr>
        <w:tc>
          <w:tcPr>
            <w:tcW w:type="dxa" w:w="9524"/>
            <w:shd w:fill="F6F0E3"/>
            <w:tcMar>
              <w:top w:w="150" w:type="dxa"/>
              <w:start w:w="190" w:type="dxa"/>
              <w:bottom w:w="150" w:type="dxa"/>
              <w:end w:w="190" w:type="dxa"/>
            </w:tcMar>
          </w:tcPr>
          <w:p>
            <w:pPr>
              <w:jc w:val="right"/>
              <w:bidi w:val="1"/>
            </w:pPr>
            <w:r>
              <w:rPr>
                <w:rFonts w:ascii="Noto Sans Arabic" w:hAnsi="Noto Sans Arabic" w:cs="Noto Sans Arabic" w:eastAsia="Noto Sans Arabic"/>
                <w:b/>
                <w:i w:val="0"/>
                <w:color w:val="16324F"/>
                <w:sz w:val="25"/>
                <w:rtl w:val="1"/>
              </w:rPr>
              <w:t>Canonical Execution Mandate — Audit, Implement, Test, and Report</w:t>
            </w:r>
          </w:p>
          <w:p>
            <w:pPr>
              <w:jc w:val="right"/>
              <w:bidi w:val="1"/>
            </w:pPr>
            <w:r>
              <w:rPr>
                <w:rFonts w:ascii="Amiri" w:hAnsi="Amiri" w:cs="Amiri" w:eastAsia="Amiri"/>
                <w:b w:val="0"/>
                <w:i w:val="0"/>
                <w:color w:val="1F2933"/>
                <w:sz w:val="24"/>
                <w:rtl w:val="1"/>
              </w:rPr>
              <w:t>وثيقة حاكمة ضمن مشروع Hokom–Taaqol. لا تنشئ سجل طبقات موازياً، ولا تُعدّل المواد المحصنة إلا بالنص الصريح الوارد فيها.</w:t>
            </w:r>
          </w:p>
        </w:tc>
      </w:tr>
    </w:tbl>
    <w:p>
      <w:pPr>
        <w:spacing w:after="20"/>
      </w:pPr>
    </w:p>
    <w:p>
      <w:pPr>
        <w:spacing w:after="100" w:line="283" w:lineRule="auto"/>
        <w:jc w:val="right"/>
        <w:keepNext w:val="0"/>
        <w:bidi w:val="1"/>
      </w:pPr>
      <w:r>
        <w:rPr>
          <w:rFonts w:ascii="Amiri" w:hAnsi="Amiri" w:cs="Amiri" w:eastAsia="Amiri"/>
          <w:b w:val="0"/>
          <w:i w:val="0"/>
          <w:color w:val="1F2933"/>
          <w:sz w:val="24"/>
          <w:rtl w:val="1"/>
        </w:rPr>
      </w:r>
    </w:p>
    <w:tbl>
      <w:tblPr>
        <w:tblStyle w:val="TableGrid"/>
        <w:tblW w:type="auto" w:w="0"/>
        <w:jc w:val="center"/>
        <w:tblLook w:firstColumn="1" w:firstRow="1" w:lastColumn="0" w:lastRow="0" w:noHBand="0" w:noVBand="1" w:val="04A0"/>
      </w:tblPr>
      <w:tblGrid>
        <w:gridCol w:w="4762"/>
        <w:gridCol w:w="4762"/>
      </w:tblGrid>
      <w:tr>
        <w:tc>
          <w:tcPr>
            <w:tcW w:type="dxa" w:w="4762"/>
            <w:shd w:fill="F6F0E3"/>
            <w:tcMar>
              <w:top w:w="100" w:type="dxa"/>
              <w:start w:w="120" w:type="dxa"/>
              <w:bottom w:w="100" w:type="dxa"/>
              <w:end w:w="120" w:type="dxa"/>
            </w:tcMar>
          </w:tcPr>
          <w:p>
            <w:pPr>
              <w:jc w:val="center"/>
              <w:bidi w:val="1"/>
            </w:pPr>
            <w:r>
              <w:rPr>
                <w:rFonts w:ascii="Noto Sans Arabic" w:hAnsi="Noto Sans Arabic" w:cs="Noto Sans Arabic" w:eastAsia="Noto Sans Arabic"/>
                <w:b/>
                <w:i w:val="0"/>
                <w:color w:val="16324F"/>
                <w:sz w:val="22"/>
                <w:rtl w:val="1"/>
              </w:rPr>
              <w:t>الإصدار</w:t>
            </w:r>
          </w:p>
        </w:tc>
        <w:tc>
          <w:tcPr>
            <w:tcW w:type="dxa" w:w="4762"/>
            <w:shd w:fill="FFFFFF"/>
            <w:tcMar>
              <w:top w:w="100" w:type="dxa"/>
              <w:start w:w="120" w:type="dxa"/>
              <w:bottom w:w="100" w:type="dxa"/>
              <w:end w:w="120" w:type="dxa"/>
            </w:tcMar>
          </w:tcPr>
          <w:p>
            <w:r>
              <w:t>1.1</w:t>
            </w:r>
          </w:p>
        </w:tc>
      </w:tr>
      <w:tr>
        <w:tc>
          <w:tcPr>
            <w:tcW w:type="dxa" w:w="4762"/>
            <w:shd w:fill="F6F0E3"/>
            <w:tcMar>
              <w:top w:w="100" w:type="dxa"/>
              <w:start w:w="120" w:type="dxa"/>
              <w:bottom w:w="100" w:type="dxa"/>
              <w:end w:w="120" w:type="dxa"/>
            </w:tcMar>
          </w:tcPr>
          <w:p>
            <w:pPr>
              <w:jc w:val="center"/>
              <w:bidi w:val="1"/>
            </w:pPr>
            <w:r>
              <w:rPr>
                <w:rFonts w:ascii="Noto Sans Arabic" w:hAnsi="Noto Sans Arabic" w:cs="Noto Sans Arabic" w:eastAsia="Noto Sans Arabic"/>
                <w:b/>
                <w:i w:val="0"/>
                <w:color w:val="16324F"/>
                <w:sz w:val="22"/>
                <w:rtl w:val="1"/>
              </w:rPr>
              <w:t>الحالة</w:t>
            </w:r>
          </w:p>
        </w:tc>
        <w:tc>
          <w:tcPr>
            <w:tcW w:type="dxa" w:w="4762"/>
            <w:shd w:fill="FFFFFF"/>
            <w:tcMar>
              <w:top w:w="100" w:type="dxa"/>
              <w:start w:w="120" w:type="dxa"/>
              <w:bottom w:w="100" w:type="dxa"/>
              <w:end w:w="120" w:type="dxa"/>
            </w:tcMar>
          </w:tcPr>
          <w:p>
            <w:r>
              <w:t>جاهز للإرسال بعد إضافة بوابة معالجة الحادثة السابقة</w:t>
            </w:r>
          </w:p>
        </w:tc>
      </w:tr>
      <w:tr>
        <w:tc>
          <w:tcPr>
            <w:tcW w:type="dxa" w:w="4762"/>
            <w:shd w:fill="F6F0E3"/>
            <w:tcMar>
              <w:top w:w="100" w:type="dxa"/>
              <w:start w:w="120" w:type="dxa"/>
              <w:bottom w:w="100" w:type="dxa"/>
              <w:end w:w="120" w:type="dxa"/>
            </w:tcMar>
          </w:tcPr>
          <w:p>
            <w:pPr>
              <w:jc w:val="center"/>
              <w:bidi w:val="1"/>
            </w:pPr>
            <w:r>
              <w:rPr>
                <w:rFonts w:ascii="Noto Sans Arabic" w:hAnsi="Noto Sans Arabic" w:cs="Noto Sans Arabic" w:eastAsia="Noto Sans Arabic"/>
                <w:b/>
                <w:i w:val="0"/>
                <w:color w:val="16324F"/>
                <w:sz w:val="22"/>
                <w:rtl w:val="1"/>
              </w:rPr>
              <w:t>التاريخ</w:t>
            </w:r>
          </w:p>
        </w:tc>
        <w:tc>
          <w:tcPr>
            <w:tcW w:type="dxa" w:w="4762"/>
            <w:shd w:fill="FFFFFF"/>
            <w:tcMar>
              <w:top w:w="100" w:type="dxa"/>
              <w:start w:w="120" w:type="dxa"/>
              <w:bottom w:w="100" w:type="dxa"/>
              <w:end w:w="120" w:type="dxa"/>
            </w:tcMar>
          </w:tcPr>
          <w:p>
            <w:pPr>
              <w:jc w:val="center"/>
              <w:bidi w:val="1"/>
            </w:pPr>
            <w:r>
              <w:rPr>
                <w:rFonts w:ascii="Amiri" w:hAnsi="Amiri" w:cs="Amiri" w:eastAsia="Amiri"/>
                <w:b w:val="0"/>
                <w:i w:val="0"/>
                <w:color w:val="1F2933"/>
                <w:sz w:val="22"/>
                <w:rtl w:val="1"/>
              </w:rPr>
              <w:t>18 تموز 2026</w:t>
            </w:r>
          </w:p>
        </w:tc>
      </w:tr>
      <w:tr>
        <w:tc>
          <w:tcPr>
            <w:tcW w:type="dxa" w:w="4762"/>
            <w:shd w:fill="F6F0E3"/>
            <w:tcMar>
              <w:top w:w="100" w:type="dxa"/>
              <w:start w:w="120" w:type="dxa"/>
              <w:bottom w:w="100" w:type="dxa"/>
              <w:end w:w="120" w:type="dxa"/>
            </w:tcMar>
          </w:tcPr>
          <w:p>
            <w:pPr>
              <w:jc w:val="center"/>
              <w:bidi w:val="1"/>
            </w:pPr>
            <w:r>
              <w:rPr>
                <w:rFonts w:ascii="Noto Sans Arabic" w:hAnsi="Noto Sans Arabic" w:cs="Noto Sans Arabic" w:eastAsia="Noto Sans Arabic"/>
                <w:b/>
                <w:i w:val="0"/>
                <w:color w:val="16324F"/>
                <w:sz w:val="22"/>
                <w:rtl w:val="1"/>
              </w:rPr>
              <w:t>اللغة الحاكمة</w:t>
            </w:r>
          </w:p>
        </w:tc>
        <w:tc>
          <w:tcPr>
            <w:tcW w:type="dxa" w:w="4762"/>
            <w:shd w:fill="FFFFFF"/>
            <w:tcMar>
              <w:top w:w="100" w:type="dxa"/>
              <w:start w:w="120" w:type="dxa"/>
              <w:bottom w:w="100" w:type="dxa"/>
              <w:end w:w="120" w:type="dxa"/>
            </w:tcMar>
          </w:tcPr>
          <w:p>
            <w:pPr>
              <w:jc w:val="center"/>
              <w:bidi w:val="1"/>
            </w:pPr>
            <w:r>
              <w:rPr>
                <w:rFonts w:ascii="Amiri" w:hAnsi="Amiri" w:cs="Amiri" w:eastAsia="Amiri"/>
                <w:b w:val="0"/>
                <w:i w:val="0"/>
                <w:color w:val="1F2933"/>
                <w:sz w:val="22"/>
                <w:rtl w:val="1"/>
              </w:rPr>
              <w:t>العربية؛ والمعرّفات البرمجية الإنجليزية مفسِّرة لا ناسخة</w:t>
            </w:r>
          </w:p>
        </w:tc>
      </w:tr>
    </w:tbl>
    <w:p>
      <w:r>
        <w:br w:type="page"/>
      </w:r>
    </w:p>
    <w:p>
      <w:pPr>
        <w:pStyle w:val="Heading1"/>
        <w:jc w:val="right"/>
        <w:bidi w:val="1"/>
      </w:pPr>
      <w:r>
        <w:rPr>
          <w:rFonts w:ascii="Noto Sans Arabic" w:hAnsi="Noto Sans Arabic" w:cs="Noto Sans Arabic" w:eastAsia="Noto Sans Arabic"/>
          <w:b/>
          <w:i w:val="0"/>
          <w:color w:val="16324F"/>
          <w:sz w:val="36"/>
          <w:rtl w:val="1"/>
        </w:rPr>
        <w:t>فهرس الوثيقة</w:t>
      </w:r>
    </w:p>
    <w:p>
      <w:pPr>
        <w:bidi w:val="1"/>
        <w:jc w:val="right"/>
      </w:pPr>
      <w:r>
        <w:rPr>
          <w:b w:val="0"/>
          <w:rtl w:val="1"/>
        </w:rPr>
        <w:t>0  بوابة معالجة الحادثة السابقة ونظافة البيئة</w:t>
      </w:r>
    </w:p>
    <w:p>
      <w:pPr>
        <w:spacing w:after="40"/>
        <w:jc w:val="right"/>
        <w:bidi w:val="1"/>
      </w:pPr>
      <w:r>
        <w:rPr>
          <w:rFonts w:ascii="Noto Sans Arabic" w:hAnsi="Noto Sans Arabic" w:cs="Noto Sans Arabic" w:eastAsia="Noto Sans Arabic"/>
          <w:b/>
          <w:i w:val="0"/>
          <w:color w:val="B58A3B"/>
          <w:sz w:val="23"/>
          <w:rtl w:val="1"/>
        </w:rPr>
        <w:t xml:space="preserve">1  </w:t>
      </w:r>
      <w:r>
        <w:rPr>
          <w:rFonts w:ascii="Amiri" w:hAnsi="Amiri" w:cs="Amiri" w:eastAsia="Amiri"/>
          <w:b w:val="0"/>
          <w:i w:val="0"/>
          <w:color w:val="1F2933"/>
          <w:sz w:val="23"/>
          <w:rtl w:val="1"/>
        </w:rPr>
        <w:t>الصفة التنفيذية والهدف النهائي</w:t>
      </w:r>
    </w:p>
    <w:p>
      <w:pPr>
        <w:spacing w:after="40"/>
        <w:jc w:val="right"/>
        <w:bidi w:val="1"/>
      </w:pPr>
      <w:r>
        <w:rPr>
          <w:rFonts w:ascii="Noto Sans Arabic" w:hAnsi="Noto Sans Arabic" w:cs="Noto Sans Arabic" w:eastAsia="Noto Sans Arabic"/>
          <w:b/>
          <w:i w:val="0"/>
          <w:color w:val="B58A3B"/>
          <w:sz w:val="23"/>
          <w:rtl w:val="1"/>
        </w:rPr>
        <w:t xml:space="preserve">2  </w:t>
      </w:r>
      <w:r>
        <w:rPr>
          <w:rFonts w:ascii="Amiri" w:hAnsi="Amiri" w:cs="Amiri" w:eastAsia="Amiri"/>
          <w:b w:val="0"/>
          <w:i w:val="0"/>
          <w:color w:val="1F2933"/>
          <w:sz w:val="23"/>
          <w:rtl w:val="1"/>
        </w:rPr>
        <w:t>الحقائق المحصنة التي لا يجوز مخالفتها</w:t>
      </w:r>
    </w:p>
    <w:p>
      <w:pPr>
        <w:spacing w:after="40"/>
        <w:jc w:val="right"/>
        <w:bidi w:val="1"/>
      </w:pPr>
      <w:r>
        <w:rPr>
          <w:rFonts w:ascii="Noto Sans Arabic" w:hAnsi="Noto Sans Arabic" w:cs="Noto Sans Arabic" w:eastAsia="Noto Sans Arabic"/>
          <w:b/>
          <w:i w:val="0"/>
          <w:color w:val="B58A3B"/>
          <w:sz w:val="23"/>
          <w:rtl w:val="1"/>
        </w:rPr>
        <w:t xml:space="preserve">3  </w:t>
      </w:r>
      <w:r>
        <w:rPr>
          <w:rFonts w:ascii="Amiri" w:hAnsi="Amiri" w:cs="Amiri" w:eastAsia="Amiri"/>
          <w:b w:val="0"/>
          <w:i w:val="0"/>
          <w:color w:val="1F2933"/>
          <w:sz w:val="23"/>
          <w:rtl w:val="1"/>
        </w:rPr>
        <w:t>ترتيب مصادر الحقيقة</w:t>
      </w:r>
    </w:p>
    <w:p>
      <w:pPr>
        <w:spacing w:after="40"/>
        <w:jc w:val="right"/>
        <w:bidi w:val="1"/>
      </w:pPr>
      <w:r>
        <w:rPr>
          <w:rFonts w:ascii="Noto Sans Arabic" w:hAnsi="Noto Sans Arabic" w:cs="Noto Sans Arabic" w:eastAsia="Noto Sans Arabic"/>
          <w:b/>
          <w:i w:val="0"/>
          <w:color w:val="B58A3B"/>
          <w:sz w:val="23"/>
          <w:rtl w:val="1"/>
        </w:rPr>
        <w:t xml:space="preserve">4  </w:t>
      </w:r>
      <w:r>
        <w:rPr>
          <w:rFonts w:ascii="Amiri" w:hAnsi="Amiri" w:cs="Amiri" w:eastAsia="Amiri"/>
          <w:b w:val="0"/>
          <w:i w:val="0"/>
          <w:color w:val="1F2933"/>
          <w:sz w:val="23"/>
          <w:rtl w:val="1"/>
        </w:rPr>
        <w:t>مرحلة التدقيق القرائي الإلزامية</w:t>
      </w:r>
    </w:p>
    <w:p>
      <w:pPr>
        <w:spacing w:after="40"/>
        <w:jc w:val="right"/>
        <w:bidi w:val="1"/>
      </w:pPr>
      <w:r>
        <w:rPr>
          <w:rFonts w:ascii="Noto Sans Arabic" w:hAnsi="Noto Sans Arabic" w:cs="Noto Sans Arabic" w:eastAsia="Noto Sans Arabic"/>
          <w:b/>
          <w:i w:val="0"/>
          <w:color w:val="B58A3B"/>
          <w:sz w:val="23"/>
          <w:rtl w:val="1"/>
        </w:rPr>
        <w:t xml:space="preserve">5  </w:t>
      </w:r>
      <w:r>
        <w:rPr>
          <w:rFonts w:ascii="Amiri" w:hAnsi="Amiri" w:cs="Amiri" w:eastAsia="Amiri"/>
          <w:b w:val="0"/>
          <w:i w:val="0"/>
          <w:color w:val="1F2933"/>
          <w:sz w:val="23"/>
          <w:rtl w:val="1"/>
        </w:rPr>
        <w:t>مصفوفة المطابقة والفجوات</w:t>
      </w:r>
    </w:p>
    <w:p>
      <w:pPr>
        <w:spacing w:after="40"/>
        <w:jc w:val="right"/>
        <w:bidi w:val="1"/>
      </w:pPr>
      <w:r>
        <w:rPr>
          <w:rFonts w:ascii="Noto Sans Arabic" w:hAnsi="Noto Sans Arabic" w:cs="Noto Sans Arabic" w:eastAsia="Noto Sans Arabic"/>
          <w:b/>
          <w:i w:val="0"/>
          <w:color w:val="B58A3B"/>
          <w:sz w:val="23"/>
          <w:rtl w:val="1"/>
        </w:rPr>
        <w:t xml:space="preserve">6  </w:t>
      </w:r>
      <w:r>
        <w:rPr>
          <w:rFonts w:ascii="Amiri" w:hAnsi="Amiri" w:cs="Amiri" w:eastAsia="Amiri"/>
          <w:b w:val="0"/>
          <w:i w:val="0"/>
          <w:color w:val="1F2933"/>
          <w:sz w:val="23"/>
          <w:rtl w:val="1"/>
        </w:rPr>
        <w:t>نطاق التنفيذ المغلق</w:t>
      </w:r>
    </w:p>
    <w:p>
      <w:pPr>
        <w:spacing w:after="40"/>
        <w:jc w:val="right"/>
        <w:bidi w:val="1"/>
      </w:pPr>
      <w:r>
        <w:rPr>
          <w:rFonts w:ascii="Noto Sans Arabic" w:hAnsi="Noto Sans Arabic" w:cs="Noto Sans Arabic" w:eastAsia="Noto Sans Arabic"/>
          <w:b/>
          <w:i w:val="0"/>
          <w:color w:val="B58A3B"/>
          <w:sz w:val="23"/>
          <w:rtl w:val="1"/>
        </w:rPr>
        <w:t xml:space="preserve">7  </w:t>
      </w:r>
      <w:r>
        <w:rPr>
          <w:rFonts w:ascii="Amiri" w:hAnsi="Amiri" w:cs="Amiri" w:eastAsia="Amiri"/>
          <w:b w:val="0"/>
          <w:i w:val="0"/>
          <w:color w:val="1F2933"/>
          <w:sz w:val="23"/>
          <w:rtl w:val="1"/>
        </w:rPr>
        <w:t>العقود والنماذج المطلوب تثبيتها</w:t>
      </w:r>
    </w:p>
    <w:p>
      <w:pPr>
        <w:spacing w:after="40"/>
        <w:jc w:val="right"/>
        <w:bidi w:val="1"/>
      </w:pPr>
      <w:r>
        <w:rPr>
          <w:rFonts w:ascii="Noto Sans Arabic" w:hAnsi="Noto Sans Arabic" w:cs="Noto Sans Arabic" w:eastAsia="Noto Sans Arabic"/>
          <w:b/>
          <w:i w:val="0"/>
          <w:color w:val="B58A3B"/>
          <w:sz w:val="23"/>
          <w:rtl w:val="1"/>
        </w:rPr>
        <w:t xml:space="preserve">8  </w:t>
      </w:r>
      <w:r>
        <w:rPr>
          <w:rFonts w:ascii="Amiri" w:hAnsi="Amiri" w:cs="Amiri" w:eastAsia="Amiri"/>
          <w:b w:val="0"/>
          <w:i w:val="0"/>
          <w:color w:val="1F2933"/>
          <w:sz w:val="23"/>
          <w:rtl w:val="1"/>
        </w:rPr>
        <w:t>قواعد الاندماج والتوافق ومنع الازدواج</w:t>
      </w:r>
    </w:p>
    <w:p>
      <w:pPr>
        <w:spacing w:after="40"/>
        <w:jc w:val="right"/>
        <w:bidi w:val="1"/>
      </w:pPr>
      <w:r>
        <w:rPr>
          <w:rFonts w:ascii="Noto Sans Arabic" w:hAnsi="Noto Sans Arabic" w:cs="Noto Sans Arabic" w:eastAsia="Noto Sans Arabic"/>
          <w:b/>
          <w:i w:val="0"/>
          <w:color w:val="B58A3B"/>
          <w:sz w:val="23"/>
          <w:rtl w:val="1"/>
        </w:rPr>
        <w:t xml:space="preserve">9  </w:t>
      </w:r>
      <w:r>
        <w:rPr>
          <w:rFonts w:ascii="Amiri" w:hAnsi="Amiri" w:cs="Amiri" w:eastAsia="Amiri"/>
          <w:b w:val="0"/>
          <w:i w:val="0"/>
          <w:color w:val="1F2933"/>
          <w:sz w:val="23"/>
          <w:rtl w:val="1"/>
        </w:rPr>
        <w:t>الاختبارات ومعايير القبول</w:t>
      </w:r>
    </w:p>
    <w:p>
      <w:pPr>
        <w:spacing w:after="40"/>
        <w:jc w:val="right"/>
        <w:bidi w:val="1"/>
      </w:pPr>
      <w:r>
        <w:rPr>
          <w:rFonts w:ascii="Noto Sans Arabic" w:hAnsi="Noto Sans Arabic" w:cs="Noto Sans Arabic" w:eastAsia="Noto Sans Arabic"/>
          <w:b/>
          <w:i w:val="0"/>
          <w:color w:val="B58A3B"/>
          <w:sz w:val="23"/>
          <w:rtl w:val="1"/>
        </w:rPr>
        <w:t xml:space="preserve">10  </w:t>
      </w:r>
      <w:r>
        <w:rPr>
          <w:rFonts w:ascii="Amiri" w:hAnsi="Amiri" w:cs="Amiri" w:eastAsia="Amiri"/>
          <w:b w:val="0"/>
          <w:i w:val="0"/>
          <w:color w:val="1F2933"/>
          <w:sz w:val="23"/>
          <w:rtl w:val="1"/>
        </w:rPr>
        <w:t>ضوابط Git والتغييرات المحظورة</w:t>
      </w:r>
    </w:p>
    <w:p>
      <w:pPr>
        <w:spacing w:after="40"/>
        <w:jc w:val="right"/>
        <w:bidi w:val="1"/>
      </w:pPr>
      <w:r>
        <w:rPr>
          <w:rFonts w:ascii="Noto Sans Arabic" w:hAnsi="Noto Sans Arabic" w:cs="Noto Sans Arabic" w:eastAsia="Noto Sans Arabic"/>
          <w:b/>
          <w:i w:val="0"/>
          <w:color w:val="B58A3B"/>
          <w:sz w:val="23"/>
          <w:rtl w:val="1"/>
        </w:rPr>
        <w:t xml:space="preserve">11  </w:t>
      </w:r>
      <w:r>
        <w:rPr>
          <w:rFonts w:ascii="Amiri" w:hAnsi="Amiri" w:cs="Amiri" w:eastAsia="Amiri"/>
          <w:b w:val="0"/>
          <w:i w:val="0"/>
          <w:color w:val="1F2933"/>
          <w:sz w:val="23"/>
          <w:rtl w:val="1"/>
        </w:rPr>
        <w:t>شكل التقرير النهائي الإلزامي</w:t>
      </w:r>
    </w:p>
    <w:p>
      <w:pPr>
        <w:spacing w:after="40"/>
        <w:jc w:val="right"/>
        <w:bidi w:val="1"/>
      </w:pPr>
      <w:r>
        <w:rPr>
          <w:rFonts w:ascii="Noto Sans Arabic" w:hAnsi="Noto Sans Arabic" w:cs="Noto Sans Arabic" w:eastAsia="Noto Sans Arabic"/>
          <w:b/>
          <w:i w:val="0"/>
          <w:color w:val="B58A3B"/>
          <w:sz w:val="23"/>
          <w:rtl w:val="1"/>
        </w:rPr>
        <w:t xml:space="preserve">12  </w:t>
      </w:r>
      <w:r>
        <w:rPr>
          <w:rFonts w:ascii="Amiri" w:hAnsi="Amiri" w:cs="Amiri" w:eastAsia="Amiri"/>
          <w:b w:val="0"/>
          <w:i w:val="0"/>
          <w:color w:val="1F2933"/>
          <w:sz w:val="23"/>
          <w:rtl w:val="1"/>
        </w:rPr>
        <w:t>نص الأمر التنفيذي الجاهز للنسخ</w:t>
      </w:r>
    </w:p>
    <w:p>
      <w:r>
        <w:br w:type="page"/>
      </w:r>
    </w:p>
    <w:p>
      <w:pPr>
        <w:pStyle w:val="Heading1"/>
        <w:bidi w:val="1"/>
        <w:jc w:val="right"/>
      </w:pPr>
      <w:r>
        <w:rPr>
          <w:b w:val="0"/>
          <w:rtl w:val="1"/>
        </w:rPr>
        <w:t>0. بوابة معالجة الحادثة السابقة ونظافة البيئة</w:t>
      </w:r>
    </w:p>
    <w:p>
      <w:pPr>
        <w:bidi w:val="1"/>
        <w:jc w:val="right"/>
      </w:pPr>
      <w:r>
        <w:rPr>
          <w:b w:val="0"/>
          <w:rtl w:val="1"/>
        </w:rPr>
        <w:t>التقرير السابق إشعار حادثة لا شهادة نظافة. تعامل مع الشجرة الحالية على أنها CONTAMINATED_OR_UNVERIFIED إلى أن تثبت العكس من Git وfilesystem والruntime والاختبارات.</w:t>
      </w:r>
    </w:p>
    <w:p>
      <w:pPr>
        <w:bidi w:val="1"/>
        <w:jc w:val="right"/>
      </w:pPr>
      <w:r>
        <w:rPr>
          <w:b w:val="0"/>
          <w:rtl w:val="1"/>
        </w:rPr>
        <w:t>العناصر الواجب التحقق منها: strenum_compat.py؛ conftest.py الجذري؛ vendor/Taaqol-GPT/tests/conftest.py؛ admission_gate.py؛ .venv-py311؛ .venv-py310-tmp؛ وأي حقن آخر لـStrEnum أو enum أو sys.modules أو pytest.</w:t>
      </w:r>
    </w:p>
    <w:p>
      <w:pPr>
        <w:bidi w:val="1"/>
        <w:jc w:val="right"/>
      </w:pPr>
      <w:r>
        <w:rPr>
          <w:b w:val="0"/>
          <w:rtl w:val="1"/>
        </w:rPr>
        <w:t>■ لا تبدأ أي تنفيذ جديد قبل تسجيل الفرع وHEAD وgit status بجميع الملفات غير المتتبعة وdiff كامل للملفات المبلغ عنها.</w:t>
      </w:r>
    </w:p>
    <w:p>
      <w:pPr>
        <w:bidi w:val="1"/>
        <w:jc w:val="right"/>
      </w:pPr>
      <w:r>
        <w:rPr>
          <w:b w:val="0"/>
          <w:rtl w:val="1"/>
        </w:rPr>
        <w:t>■ احذف الملفات غير المتتبعة المحظورة حذفًا حقيقيًا، واستعد الملفات المتتبعة من HEAD أو baseline المعتمد. لا تترك stub أو sentinel أو ملفًا يرمي ImportError.</w:t>
      </w:r>
    </w:p>
    <w:p>
      <w:pPr>
        <w:bidi w:val="1"/>
        <w:jc w:val="right"/>
      </w:pPr>
      <w:r>
        <w:rPr>
          <w:b w:val="0"/>
          <w:rtl w:val="1"/>
        </w:rPr>
        <w:t>■ لا تعدل vendor، ولا conftest، ولا test collection لإصلاح runtime أو الاستيراد. أثبت أن vendor وحزام الاختبار عادا إلى الأصل.</w:t>
      </w:r>
    </w:p>
    <w:p>
      <w:pPr>
        <w:bidi w:val="1"/>
        <w:jc w:val="right"/>
      </w:pPr>
      <w:r>
        <w:rPr>
          <w:b w:val="0"/>
          <w:rtl w:val="1"/>
        </w:rPr>
        <w:t>■ افحص admission_gate.py بحثًا عن monkey patch أو زرع StrEnum في enum أو sys.modules أو import hook، وأزل الحقن المحظور فقط مع الحفاظ على المنطق المشروع القابل للإثبات.</w:t>
      </w:r>
    </w:p>
    <w:p>
      <w:pPr>
        <w:bidi w:val="1"/>
        <w:jc w:val="right"/>
      </w:pPr>
      <w:r>
        <w:rPr>
          <w:b w:val="0"/>
          <w:rtl w:val="1"/>
        </w:rPr>
        <w:t>■ لا تثق باسم venv. سجل sys.executable وsys.version ومسار python ونجاح from enum import StrEnum. افحص البيئتين المذكورتين لأن التقرير السابق متناقض في أسمائهما.</w:t>
      </w:r>
    </w:p>
    <w:p>
      <w:pPr>
        <w:bidi w:val="1"/>
        <w:jc w:val="right"/>
      </w:pPr>
      <w:r>
        <w:rPr>
          <w:b w:val="0"/>
          <w:rtl w:val="1"/>
        </w:rPr>
        <w:t>■ Step 6 لا يكون CLOSED إلا بعد تشغيله على Python 3.11 الأصلي ونجاح الاستيراد والاختبارات دون shim أو تعديل vendor أو test harness. وإلا فالحالة IMPLEMENTED_DEFERRED_ACTIVATION أو PARTIAL.</w:t>
      </w:r>
    </w:p>
    <w:p>
      <w:pPr>
        <w:bidi w:val="1"/>
        <w:jc w:val="right"/>
      </w:pPr>
      <w:r>
        <w:rPr>
          <w:b w:val="0"/>
          <w:rtl w:val="1"/>
        </w:rPr>
        <w:t>■ إذا منع filesystem الحذف، لا تقل تم الإصلاح؛ اذكر BLOCKED_CLEANUP مع المسار والسبب والأمر اللازم.</w:t>
      </w:r>
    </w:p>
    <w:p>
      <w:pPr>
        <w:pStyle w:val="CodeBlock"/>
        <w:bidi w:val="0"/>
        <w:jc w:val="left"/>
      </w:pPr>
      <w:r>
        <w:rPr>
          <w:rFonts w:ascii="DejaVu Sans Mono" w:hAnsi="DejaVu Sans Mono"/>
          <w:sz w:val="17"/>
          <w:rtl w:val="0"/>
        </w:rPr>
        <w:t>git status --short --untracked-files=all</w:t>
        <w:br/>
        <w:t>git rev-parse --abbrev-ref HEAD</w:t>
        <w:br/>
        <w:t>git rev-parse HEAD</w:t>
        <w:br/>
        <w:t>git diff -- admission_gate.py conftest.py vendor/Taaqol-GPT/tests/conftest.py strenum_compat.py</w:t>
        <w:br/>
        <w:t>git diff -- vendor/Taaqol-GPT</w:t>
        <w:br/>
        <w:t>grep -RInE "strenum_compat|setattr\(enum|enum\.StrEnum|sys\.modules|monkeypatch" . --exclude-dir=.git</w:t>
      </w:r>
    </w:p>
    <w:p>
      <w:pPr>
        <w:bidi w:val="1"/>
        <w:jc w:val="right"/>
      </w:pPr>
      <w:r>
        <w:rPr>
          <w:b/>
          <w:rtl w:val="1"/>
        </w:rPr>
        <w:t>مخرج بوابة الصفر إلزامي: INCIDENT_VERDICT؛ PROHIBITED_FILES_STATUS؛ VENDOR_INTEGRITY؛ TEST_HARNESS_INTEGRITY؛ RUNTIME_PROOF؛ STEP6_STATUS؛ CLEANUP_DIFF.</w:t>
      </w:r>
    </w:p>
    <w:p>
      <w:pPr>
        <w:pStyle w:val="Heading1"/>
        <w:jc w:val="right"/>
        <w:bidi w:val="1"/>
      </w:pPr>
      <w:r>
        <w:rPr>
          <w:rFonts w:ascii="Noto Sans Arabic" w:hAnsi="Noto Sans Arabic" w:cs="Noto Sans Arabic" w:eastAsia="Noto Sans Arabic"/>
          <w:b/>
          <w:i w:val="0"/>
          <w:color w:val="16324F"/>
          <w:sz w:val="36"/>
          <w:rtl w:val="1"/>
        </w:rPr>
        <w:t>1. الصفة التنفيذية والهدف النهائي</w:t>
      </w:r>
    </w:p>
    <w:tbl>
      <w:tblPr>
        <w:tblW w:type="auto" w:w="0"/>
        <w:jc w:val="center"/>
        <w:tblLook w:firstColumn="1" w:firstRow="1" w:lastColumn="0" w:lastRow="0" w:noHBand="0" w:noVBand="1" w:val="04A0"/>
      </w:tblPr>
      <w:tblGrid>
        <w:gridCol w:w="9524"/>
      </w:tblGrid>
      <w:tr>
        <w:tc>
          <w:tcPr>
            <w:tcW w:type="dxa" w:w="9524"/>
            <w:shd w:fill="EAF4EF"/>
            <w:tcMar>
              <w:top w:w="150" w:type="dxa"/>
              <w:start w:w="190" w:type="dxa"/>
              <w:bottom w:w="150" w:type="dxa"/>
              <w:end w:w="190" w:type="dxa"/>
            </w:tcMar>
          </w:tcPr>
          <w:p>
            <w:r>
              <w:t>إلى Qiyas / Claude</w:t>
              <w:br/>
              <w:t>أنت مكلف أولًا بإزالة أثر الحادثة السابقة وإثبات نظافة runtime وvendor وحزام الاختبار، ثم بإغلاق الملكية الدستورية والتنفيذية. لا تبنِ تنفيذًا جديدًا فوق شجرة ملوثة، ولا تعتبر stub يرمي ImportError حذفًا، ولا تعلن CLOSED دون Python 3.11 الأصلي والاختبارات.</w:t>
            </w:r>
          </w:p>
        </w:tc>
      </w:tr>
    </w:tbl>
    <w:p>
      <w:pPr>
        <w:spacing w:after="20"/>
      </w:pPr>
    </w:p>
    <w:p>
      <w:pPr>
        <w:spacing w:after="100" w:line="283" w:lineRule="auto"/>
        <w:jc w:val="right"/>
        <w:keepNext w:val="0"/>
        <w:bidi w:val="1"/>
      </w:pPr>
      <w:r>
        <w:rPr>
          <w:rFonts w:ascii="Amiri" w:hAnsi="Amiri" w:cs="Amiri" w:eastAsia="Amiri"/>
          <w:b w:val="0"/>
          <w:i w:val="0"/>
          <w:color w:val="1F2933"/>
          <w:sz w:val="24"/>
          <w:rtl w:val="1"/>
        </w:rPr>
        <w:t>الهدف هو إدماج التعديل الدستوري الأول الخاص بمنشأ الادعاء، وعقد المفهوم، والإفادة المرشحة، ونوع الواقع، والحكم الداخلي، والحالة التشغيلية، والأثر المحفوظ، والإصلاح، والتطبيق، والمطابقة؛ مع المحافظة على SCG وP0–P12 والنواة الحالية وملكية Hokom الصرفية.</w:t>
      </w:r>
    </w:p>
    <w:p>
      <w:pPr>
        <w:spacing w:after="100" w:line="283" w:lineRule="auto"/>
        <w:jc w:val="right"/>
        <w:keepNext w:val="0"/>
        <w:bidi w:val="1"/>
      </w:pPr>
      <w:r>
        <w:rPr>
          <w:rFonts w:ascii="Amiri" w:hAnsi="Amiri" w:cs="Amiri" w:eastAsia="Amiri"/>
          <w:b w:val="0"/>
          <w:i w:val="0"/>
          <w:color w:val="1F2933"/>
          <w:sz w:val="24"/>
          <w:rtl w:val="1"/>
        </w:rPr>
        <w:t>التكليف واسع ومغلق النطاق: لا تتوقف عند اقتراح خطة إذا كان التنفيذ ممكنًا، ولا تنشئ دفعات صغيرة متفرقة. نفذ كامل الملكية القابلة للتنفيذ ضمن المستودع الحالي في دفعة منضبطة واحدة، مع تأجيل ما يحتاج قرارًا دستوريًا جديدًا فقط، وتسميته صراحةً.</w:t>
      </w:r>
    </w:p>
    <w:p>
      <w:pPr>
        <w:pStyle w:val="Heading1"/>
        <w:pageBreakBefore/>
        <w:jc w:val="right"/>
        <w:bidi w:val="1"/>
      </w:pPr>
      <w:r>
        <w:rPr>
          <w:rFonts w:ascii="Noto Sans Arabic" w:hAnsi="Noto Sans Arabic" w:cs="Noto Sans Arabic" w:eastAsia="Noto Sans Arabic"/>
          <w:b/>
          <w:i w:val="0"/>
          <w:color w:val="16324F"/>
          <w:sz w:val="36"/>
          <w:rtl w:val="1"/>
        </w:rPr>
        <w:t>2. الحقائق المحصنة التي لا يجوز مخالفتها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السجل الكنسي الحالي يتكون من 19 طبقة موزعة على P0–P12، ولا يجوز إعادة ترقيمه أو إنشاء سجل موازٍ.</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P12 نهائي من نوع IfadahCandidate ولا يفتح P13 ولا ينتج معنى أو حكمًا نهائيًا.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نطاق التشغيل الحالي في Hokom متوقف عند P5 ما لم يثبت المستودع أو تعليمات لاحقة خلاف ذلك؛ لا تفتح P6–P12 بحجة هذا التعديل.</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سلسلة الحكم الحاكمة: الوضع → السبب → الشرط → المانع → العلة → القادح → الصحة → الفساد → البطلان → الأثر → البقايا.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مخرجات Verifier تبقى: Licensed / Blocked / Deferred / Residual.</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تدمج intrinsic_verdict مع operational_status أو evidence_rank.</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قانون الرتبة: رتبة النتيجة لا تتجاوز أضعف مقدمة لازمة.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وجود مانع نشط يمنع Licensed؛ ونقص دليل لازم يوجب Deferred لا Batil.</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الجذر والوزن والمصدر والمشتقات ملك Hokom، ولا تُنقل إلى HR2S.</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HR2S ومحركات الخارج مصادر مرشحات أو أدلة فقط، ولا تصدر الترخيص النهائي.</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فعل من Concept أو IfadahCandidate أو CandidateRule مباشرة.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زرع لأمثلة أو كلمات بعينها، ولا اعتماد على نصوص اختبارية مخصوصة بدل القاعدة العامة.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تعديل صامت في الدستور أو المخططات أو السلوك.</w:t>
      </w:r>
    </w:p>
    <w:p>
      <w:pPr>
        <w:bidi w:val="1"/>
        <w:jc w:val="right"/>
      </w:pPr>
      <w:r>
        <w:rPr>
          <w:b w:val="0"/>
          <w:rtl w:val="1"/>
        </w:rPr>
        <w:t>■ runtime وحزام الاختبار وvendor جزء من دليل التنفيذ؛ لا يجوز تغييرها لتصنيع النجاح.</w:t>
      </w:r>
    </w:p>
    <w:p>
      <w:pPr>
        <w:bidi w:val="1"/>
        <w:jc w:val="right"/>
      </w:pPr>
      <w:r>
        <w:rPr>
          <w:b w:val="0"/>
          <w:rtl w:val="1"/>
        </w:rPr>
        <w:t>■ لا shim ولا backport ولا monkey patch لـStrEnum أو enum؛ Python 3.11 الأصلي هو بوابة التفعيل المعلنة.</w:t>
      </w:r>
    </w:p>
    <w:p>
      <w:pPr>
        <w:bidi w:val="1"/>
        <w:jc w:val="right"/>
      </w:pPr>
      <w:r>
        <w:rPr>
          <w:b w:val="0"/>
          <w:rtl w:val="1"/>
        </w:rPr>
        <w:t>■ لا إعلان CLOSED دون تشغيل واختبارات مثبتة في البيئة المطلوبة.</w:t>
      </w:r>
    </w:p>
    <w:p>
      <w:pPr>
        <w:pStyle w:val="Heading1"/>
        <w:pageBreakBefore/>
        <w:jc w:val="right"/>
        <w:bidi w:val="1"/>
      </w:pPr>
      <w:r>
        <w:rPr>
          <w:rFonts w:ascii="Noto Sans Arabic" w:hAnsi="Noto Sans Arabic" w:cs="Noto Sans Arabic" w:eastAsia="Noto Sans Arabic"/>
          <w:b/>
          <w:i w:val="0"/>
          <w:color w:val="16324F"/>
          <w:sz w:val="36"/>
          <w:rtl w:val="1"/>
        </w:rPr>
        <w:t>3. ترتيب مصادر الحقيقة</w:t>
      </w:r>
    </w:p>
    <w:p>
      <w:pPr>
        <w:spacing w:after="100" w:line="283" w:lineRule="auto"/>
        <w:jc w:val="right"/>
        <w:keepNext w:val="0"/>
        <w:bidi w:val="1"/>
      </w:pPr>
      <w:r>
        <w:rPr>
          <w:rFonts w:ascii="Amiri" w:hAnsi="Amiri" w:cs="Amiri" w:eastAsia="Amiri"/>
          <w:b w:val="0"/>
          <w:i w:val="0"/>
          <w:color w:val="1F2933"/>
          <w:sz w:val="24"/>
          <w:rtl w:val="1"/>
        </w:rPr>
        <w:t>عند التعارض، اتبع الترتيب الآتي ولا تساوِ بين المصادر:</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3175"/>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الرتبة</w:t>
            </w:r>
          </w:p>
        </w:tc>
        <w:tc>
          <w:tcPr>
            <w:tcW w:type="dxa" w:w="3175"/>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المصدر</w:t>
            </w:r>
          </w:p>
        </w:tc>
        <w:tc>
          <w:tcPr>
            <w:tcW w:type="dxa" w:w="3175"/>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وظيفته</w:t>
            </w:r>
          </w:p>
        </w:tc>
      </w:tr>
      <w:tr>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1</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الدستور والمواد المحصنة</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أعلى مرجع، ولا ينسخه الكود بالصمت.</w:t>
            </w:r>
          </w:p>
        </w:tc>
      </w:tr>
      <w:tr>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2</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السجل الكنسي SCG</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المرجع الوحيد للطبقات وحالتها وترتيبها.</w:t>
            </w:r>
          </w:p>
        </w:tc>
      </w:tr>
      <w:tr>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3</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العقود والمخططات الكنسية</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أشكال البيانات والحدود الدلالية.</w:t>
            </w:r>
          </w:p>
        </w:tc>
      </w:tr>
      <w:tr>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4</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الاختبارات المعتمدة</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دليل على السلوك المقصود ما لم يثبت أنها تخالف الدستور.</w:t>
            </w:r>
          </w:p>
        </w:tc>
      </w:tr>
      <w:tr>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5</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التنفيذ الجاري</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دليل على الواقع البرمجي، لا على الصحة الدستورية.</w:t>
            </w:r>
          </w:p>
        </w:tc>
      </w:tr>
      <w:tr>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6</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الوثائق والخرائط والتقارير</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تفسير ومساعدة؛ لا تنسخ الأعلى.</w:t>
            </w:r>
          </w:p>
        </w:tc>
      </w:tr>
    </w:tbl>
    <w:p>
      <w:pPr>
        <w:spacing w:after="40"/>
      </w:pPr>
    </w:p>
    <w:p>
      <w:pPr>
        <w:spacing w:after="100" w:line="283" w:lineRule="auto"/>
        <w:jc w:val="right"/>
        <w:keepNext w:val="0"/>
        <w:bidi w:val="1"/>
      </w:pPr>
      <w:r>
        <w:rPr>
          <w:rFonts w:ascii="Amiri" w:hAnsi="Amiri" w:cs="Amiri" w:eastAsia="Amiri"/>
          <w:b w:val="0"/>
          <w:i w:val="0"/>
          <w:color w:val="1F2933"/>
          <w:sz w:val="24"/>
          <w:rtl w:val="1"/>
        </w:rPr>
        <w:t>إذا وجدت تعارضًا، لا تحسمه بالتخمين. سجله في مصفوفة تعارض، وحدد أي مصدر أعلى، ثم نفذ التصحيح الأدنى الذي يعيد الاتساق ويمنع التراجع.</w:t>
      </w:r>
    </w:p>
    <w:p>
      <w:pPr>
        <w:pStyle w:val="Heading1"/>
        <w:pageBreakBefore/>
        <w:jc w:val="right"/>
        <w:bidi w:val="1"/>
      </w:pPr>
      <w:r>
        <w:rPr>
          <w:rFonts w:ascii="Noto Sans Arabic" w:hAnsi="Noto Sans Arabic" w:cs="Noto Sans Arabic" w:eastAsia="Noto Sans Arabic"/>
          <w:b/>
          <w:i w:val="0"/>
          <w:color w:val="16324F"/>
          <w:sz w:val="36"/>
          <w:rtl w:val="1"/>
        </w:rPr>
        <w:t>4. مرحلة التدقيق القرائي الإلزامية</w:t>
      </w:r>
    </w:p>
    <w:tbl>
      <w:tblPr>
        <w:tblW w:type="auto" w:w="0"/>
        <w:jc w:val="center"/>
        <w:tblLook w:firstColumn="1" w:firstRow="1" w:lastColumn="0" w:lastRow="0" w:noHBand="0" w:noVBand="1" w:val="04A0"/>
      </w:tblPr>
      <w:tblGrid>
        <w:gridCol w:w="9524"/>
      </w:tblGrid>
      <w:tr>
        <w:tc>
          <w:tcPr>
            <w:tcW w:type="dxa" w:w="9524"/>
            <w:shd w:fill="FBECEC"/>
            <w:tcMar>
              <w:top w:w="150" w:type="dxa"/>
              <w:start w:w="190" w:type="dxa"/>
              <w:bottom w:w="150" w:type="dxa"/>
              <w:end w:w="190" w:type="dxa"/>
            </w:tcMar>
          </w:tcPr>
          <w:p>
            <w:pPr>
              <w:jc w:val="right"/>
              <w:bidi w:val="1"/>
            </w:pPr>
            <w:r>
              <w:rPr>
                <w:rFonts w:ascii="Noto Sans Arabic" w:hAnsi="Noto Sans Arabic" w:cs="Noto Sans Arabic" w:eastAsia="Noto Sans Arabic"/>
                <w:b/>
                <w:i w:val="0"/>
                <w:color w:val="9C2F2F"/>
                <w:sz w:val="25"/>
                <w:rtl w:val="1"/>
              </w:rPr>
              <w:t>لا تبدأ بالكتابة قبل التدقيق</w:t>
            </w:r>
          </w:p>
          <w:p>
            <w:pPr>
              <w:jc w:val="right"/>
              <w:bidi w:val="1"/>
            </w:pPr>
            <w:r>
              <w:rPr>
                <w:rFonts w:ascii="Amiri" w:hAnsi="Amiri" w:cs="Amiri" w:eastAsia="Amiri"/>
                <w:b w:val="0"/>
                <w:i w:val="0"/>
                <w:color w:val="1F2933"/>
                <w:sz w:val="24"/>
                <w:rtl w:val="1"/>
              </w:rPr>
              <w:t>افحص المستودعات والوثائق والاختبارات أولًا، لأن بعض العقود قد تكون منفذة جزئيًا أو بأسماء مختلفة. المطلوب منع الازدواج، لا تكرار المفاهيم تحت أسماء جديدة.</w:t>
            </w:r>
          </w:p>
        </w:tc>
      </w:tr>
    </w:tbl>
    <w:p>
      <w:pPr>
        <w:spacing w:after="20"/>
      </w:pP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1. ثبت حالة الشجرة: الفرع، HEAD، الملفات المعدلة، والكتاب النشطون إن أمكن. لا تمس ملفات غير متعلقة بالنطاق.</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2. حدد مستودعات ومجلدات Hokom وTaaqol وQiyas وHR2S ذات الصلة، ولا تفترض مسارات من الذاكرة.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3. اقرأ الدستور الحالي كاملًا، وسجل SCG، والـregistry seed، والعقود، والـschemas، والـenums، ومسارات Verifier، وP12، ومكونات trace/residuals الحالية.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4. ابحث دلاليًا ونصيًا عن: ClaimProvenance, ConceptContract, IfadahCandidate, RealityDomain, DomainBridge, Assessment, TransitionTrace, RepairDirective, CorrespondenceAssessment, AuthorityCheck, application, residual, blocker, defeater, sabab, shart, mani, illa, qadih, sahih, fasid, batil.</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5. ارسم مسار البيانات الفعلي من المدخل حتى المخرج الحالي، مع أسماء الملفات والدوال والأنواع.</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6. حدد ملكية الجذر والوزن والمصدر والمشتقات، وأي استدعاء لـHR2S، وأثبت هل توجد ازدواجية أو منطق مكرر.</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7. شغّل مجموعة الاختبارات الحالية قبل أي تعديل وسجل العدد والنتيجة وNode-ID baseline إن كانت الآلية متاحة.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8. صنف كل بند من التعديل الدستوري إلى: IMPLEMENTED / PARTIAL / MISSING / CONFLICT / DOCUMENTED_ONLY / OUT_OF_CURRENT_SCOPE.</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9. لا تعتبر وجود الاسم تنفيذًا؛ تحقق من أن المسار مستخدم فعليًا وأن القيم غير مزروعة.</w:t>
      </w:r>
    </w:p>
    <w:p>
      <w:pPr>
        <w:pStyle w:val="Heading1"/>
        <w:pageBreakBefore/>
        <w:jc w:val="right"/>
        <w:bidi w:val="1"/>
      </w:pPr>
      <w:r>
        <w:rPr>
          <w:rFonts w:ascii="Noto Sans Arabic" w:hAnsi="Noto Sans Arabic" w:cs="Noto Sans Arabic" w:eastAsia="Noto Sans Arabic"/>
          <w:b/>
          <w:i w:val="0"/>
          <w:color w:val="16324F"/>
          <w:sz w:val="36"/>
          <w:rtl w:val="1"/>
        </w:rPr>
        <w:t>5. مصفوفة المطابقة والفجوات</w:t>
      </w:r>
    </w:p>
    <w:p>
      <w:pPr>
        <w:spacing w:after="100" w:line="283" w:lineRule="auto"/>
        <w:jc w:val="right"/>
        <w:keepNext w:val="0"/>
        <w:bidi w:val="1"/>
      </w:pPr>
      <w:r>
        <w:rPr>
          <w:rFonts w:ascii="Amiri" w:hAnsi="Amiri" w:cs="Amiri" w:eastAsia="Amiri"/>
          <w:b w:val="0"/>
          <w:i w:val="0"/>
          <w:color w:val="1F2933"/>
          <w:sz w:val="24"/>
          <w:rtl w:val="1"/>
        </w:rPr>
        <w:t>أنشئ قبل التنفيذ مصفوفة داخل تقرير العمل، بالأعمدة التالية:</w:t>
      </w:r>
    </w:p>
    <w:tbl>
      <w:tblPr>
        <w:tblStyle w:val="TableGrid"/>
        <w:tblW w:type="auto" w:w="0"/>
        <w:jc w:val="center"/>
        <w:tblLayout w:type="autofit"/>
        <w:tblLook w:firstColumn="1" w:firstRow="1" w:lastColumn="0" w:lastRow="0" w:noHBand="0" w:noVBand="1" w:val="04A0"/>
      </w:tblPr>
      <w:tblGrid>
        <w:gridCol w:w="1361"/>
        <w:gridCol w:w="1361"/>
        <w:gridCol w:w="1361"/>
        <w:gridCol w:w="1361"/>
        <w:gridCol w:w="1361"/>
        <w:gridCol w:w="1361"/>
        <w:gridCol w:w="1361"/>
      </w:tblGrid>
      <w:tr>
        <w:trPr>
          <w:tblHeader w:val="true"/>
        </w:trPr>
        <w:tc>
          <w:tcPr>
            <w:tcW w:type="dxa" w:w="1361"/>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المطلب الدستوري</w:t>
            </w:r>
          </w:p>
        </w:tc>
        <w:tc>
          <w:tcPr>
            <w:tcW w:type="dxa" w:w="1361"/>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الموجود</w:t>
            </w:r>
          </w:p>
        </w:tc>
        <w:tc>
          <w:tcPr>
            <w:tcW w:type="dxa" w:w="1361"/>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الملف/الرمز</w:t>
            </w:r>
          </w:p>
        </w:tc>
        <w:tc>
          <w:tcPr>
            <w:tcW w:type="dxa" w:w="1361"/>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الحالة</w:t>
            </w:r>
          </w:p>
        </w:tc>
        <w:tc>
          <w:tcPr>
            <w:tcW w:type="dxa" w:w="1361"/>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الفجوة</w:t>
            </w:r>
          </w:p>
        </w:tc>
        <w:tc>
          <w:tcPr>
            <w:tcW w:type="dxa" w:w="1361"/>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قرار التنفيذ</w:t>
            </w:r>
          </w:p>
        </w:tc>
        <w:tc>
          <w:tcPr>
            <w:tcW w:type="dxa" w:w="1361"/>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مخاطر التوافق</w:t>
            </w:r>
          </w:p>
        </w:tc>
      </w:tr>
      <w:tr>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Claim provenance</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يفحص</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r>
      <w:tr>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Concept contract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يفحص</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r>
      <w:tr>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IfadahCandidate</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يفحص</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r>
      <w:tr>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Intrinsic vs operational</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يفحص</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r>
      <w:tr>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Reality domain / bridge</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يفحص</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r>
      <w:tr>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Trace / residual / repair</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يفحص</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r>
      <w:tr>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Application / correspondence</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يفحص</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r>
    </w:tbl>
    <w:p>
      <w:pPr>
        <w:spacing w:after="40"/>
      </w:pPr>
    </w:p>
    <w:p>
      <w:pPr>
        <w:spacing w:after="100" w:line="283" w:lineRule="auto"/>
        <w:jc w:val="right"/>
        <w:keepNext w:val="0"/>
        <w:bidi w:val="1"/>
      </w:pPr>
      <w:r>
        <w:rPr>
          <w:rFonts w:ascii="Amiri" w:hAnsi="Amiri" w:cs="Amiri" w:eastAsia="Amiri"/>
          <w:b w:val="0"/>
          <w:i w:val="0"/>
          <w:color w:val="1F2933"/>
          <w:sz w:val="24"/>
          <w:rtl w:val="1"/>
        </w:rPr>
        <w:t>لا تسلم هذه المصفوفة فارغة. يجب ملؤها من واقع المستودع قبل البدء بالتعديل، واستخدامها لتحديد ما سيضاف وما سيعاد استعماله وما سيؤجل.</w:t>
      </w:r>
    </w:p>
    <w:p>
      <w:pPr>
        <w:pStyle w:val="Heading1"/>
        <w:pageBreakBefore/>
        <w:jc w:val="right"/>
        <w:bidi w:val="1"/>
      </w:pPr>
      <w:r>
        <w:rPr>
          <w:rFonts w:ascii="Noto Sans Arabic" w:hAnsi="Noto Sans Arabic" w:cs="Noto Sans Arabic" w:eastAsia="Noto Sans Arabic"/>
          <w:b/>
          <w:i w:val="0"/>
          <w:color w:val="16324F"/>
          <w:sz w:val="36"/>
          <w:rtl w:val="1"/>
        </w:rPr>
        <w:t>6. نطاق التنفيذ المغلق</w:t>
      </w:r>
    </w:p>
    <w:p>
      <w:pPr>
        <w:spacing w:after="100" w:line="283" w:lineRule="auto"/>
        <w:jc w:val="right"/>
        <w:keepNext w:val="0"/>
        <w:bidi w:val="1"/>
      </w:pPr>
      <w:r>
        <w:rPr>
          <w:rFonts w:ascii="Amiri" w:hAnsi="Amiri" w:cs="Amiri" w:eastAsia="Amiri"/>
          <w:b w:val="0"/>
          <w:i w:val="0"/>
          <w:color w:val="1F2933"/>
          <w:sz w:val="24"/>
          <w:rtl w:val="1"/>
        </w:rPr>
        <w:t>بعد التدقيق، نفذ كامل البنود التالية التي تقع داخل نطاق المستودع الحالي، مع إعادة استعمال الموجود الصحيح وعدم تكراره:</w:t>
      </w:r>
    </w:p>
    <w:p>
      <w:pPr>
        <w:pStyle w:val="Heading2"/>
        <w:jc w:val="right"/>
        <w:bidi w:val="1"/>
      </w:pPr>
      <w:r>
        <w:rPr>
          <w:rFonts w:ascii="Noto Sans Arabic" w:hAnsi="Noto Sans Arabic" w:cs="Noto Sans Arabic" w:eastAsia="Noto Sans Arabic"/>
          <w:b/>
          <w:i w:val="0"/>
          <w:color w:val="245B78"/>
          <w:sz w:val="30"/>
          <w:rtl w:val="1"/>
        </w:rPr>
        <w:t>6.1 التوثيق الدستوري والمرجعية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أضف التعديل الدستوري الأول كنص مستقل مرتبط بالدستور الحالي، مع رقم إصدار وتاريخ وحالة.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أضف إحالة واضحة من الدستور الرئيسي ومن فهرس الوثائق الحاكمة.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أضف قسمًا يوضح أن SLGE خريطة معرفية عليا لا سجلًا تنفيذيًا موازياً.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ثبت المواد المحصنة وحدود الملكية بين Taaqol وHokom وVerifier وCorrespondence وHR2S.</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تغير نصوصًا تاريخية أو عقودًا قائمة إلا بقدر إزالة تعارض مثبت.</w:t>
      </w:r>
    </w:p>
    <w:p>
      <w:pPr>
        <w:pStyle w:val="Heading2"/>
        <w:jc w:val="right"/>
        <w:bidi w:val="1"/>
      </w:pPr>
      <w:r>
        <w:rPr>
          <w:rFonts w:ascii="Noto Sans Arabic" w:hAnsi="Noto Sans Arabic" w:cs="Noto Sans Arabic" w:eastAsia="Noto Sans Arabic"/>
          <w:b/>
          <w:i w:val="0"/>
          <w:color w:val="245B78"/>
          <w:sz w:val="30"/>
          <w:rtl w:val="1"/>
        </w:rPr>
        <w:t>6.2 العقود المشتركة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نفذ أو وحّد ClaimProvenance.</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نفذ أو وحّد ConceptContract مع تمثيل صريح لـUnknown وDeferred وNotApplicable حيث يلزم.</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ثبت IfadahCandidate بوصفه مرشحًا لا معنى نهائيًا، وأغلق الاستدلالات المحظورة عليه.</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نفذ RealityDomain وDomainBridge دون السماح بعبور ضمني بين المجالات.</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نفذ Assessment بفصل intrinsic_verdict عن operational_status وevidence_rank.</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نفذ TransitionTrace وRepairDirective أو وسع الموجود ليغطي الحد الأدنى الدستوري.</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نفذ CorrespondenceAssessment وApplicationAssessment وAuthorityCheck كعقود إضافية غير مفعلة في مسار P5 إن كان تفعيلها يفتح مراحل لاحقة.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اجعل serialization/JSON مستقرة وواضحة، مع versioning إن كانت العقود العامة تحتاجه.</w:t>
      </w:r>
    </w:p>
    <w:p>
      <w:pPr>
        <w:pStyle w:val="Heading2"/>
        <w:jc w:val="right"/>
        <w:bidi w:val="1"/>
      </w:pPr>
      <w:r>
        <w:rPr>
          <w:rFonts w:ascii="Noto Sans Arabic" w:hAnsi="Noto Sans Arabic" w:cs="Noto Sans Arabic" w:eastAsia="Noto Sans Arabic"/>
          <w:b/>
          <w:i w:val="0"/>
          <w:color w:val="245B78"/>
          <w:sz w:val="30"/>
          <w:rtl w:val="1"/>
        </w:rPr>
        <w:t>6.3 بوابات والتحقق</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أضف validators أو invariants لحفظ الهوية والمجال والدليل والرتبة والبقايا والأثر.</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ثبت أن المانع النشط يمنع Licensed.</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ثبت أن المقدمة اللازمة المفقودة تنتج Deferred.</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ثبت أن القادح يخفض الرتبة أو يمنع الحكم بحسب العقد، ولا يُهمل.</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ثبت منع القفز من IfadahCandidate إلى Action أو final meaning.</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ثبت أن العبور بين RealityDomains يحتاج DomainBridge.</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ثبت انتشار residuals إلى المخرجات اللاحقة ما لم تُحل بعقد موثق.</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ثبت أن كل انتقال مهم ينتج أو يمدد TransitionTrace.</w:t>
      </w:r>
    </w:p>
    <w:p>
      <w:pPr>
        <w:pStyle w:val="Heading2"/>
        <w:jc w:val="right"/>
        <w:bidi w:val="1"/>
      </w:pPr>
      <w:r>
        <w:rPr>
          <w:rFonts w:ascii="Noto Sans Arabic" w:hAnsi="Noto Sans Arabic" w:cs="Noto Sans Arabic" w:eastAsia="Noto Sans Arabic"/>
          <w:b/>
          <w:i w:val="0"/>
          <w:color w:val="245B78"/>
          <w:sz w:val="30"/>
          <w:rtl w:val="1"/>
        </w:rPr>
        <w:t>6.4 التكامل مع المسار الحالي</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اربط العقود الجديدة بأقرب نقطة صحيحة في التدفق الحالي دون تغيير المسارات الناجحة بلا سبب.</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إذا كان المسار الحالي لا يملك بيانات كافية، استخدم Unknown/Deferred لا قيمًا افتراضية توهم الاكتمال.</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تفعّل مسار application/action/correspondence داخل P5 إذا كان خارج النطاق؛ اكتفِ بالعقود والحدود والاختبارات السلبية التي تمنع القفز.</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حافظ على أن P12 هو IfadahCandidate terminal عند فحص السجل الكامل.</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تنشئ P13 أو registry آخر أو سلسلة من 11 طبقة باسم SLGE.</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تنقل المنطق الصرفي إلى HR2S، ولا تستدع مخرجاته بوصفها حقيقة نهائية.</w:t>
      </w:r>
    </w:p>
    <w:p>
      <w:pPr>
        <w:pStyle w:val="Heading1"/>
        <w:pageBreakBefore/>
        <w:jc w:val="right"/>
        <w:bidi w:val="1"/>
      </w:pPr>
      <w:r>
        <w:rPr>
          <w:rFonts w:ascii="Noto Sans Arabic" w:hAnsi="Noto Sans Arabic" w:cs="Noto Sans Arabic" w:eastAsia="Noto Sans Arabic"/>
          <w:b/>
          <w:i w:val="0"/>
          <w:color w:val="16324F"/>
          <w:sz w:val="36"/>
          <w:rtl w:val="1"/>
        </w:rPr>
        <w:t>7. العقود والنماذج المطلوب تثبيتها</w:t>
      </w:r>
    </w:p>
    <w:p>
      <w:pPr>
        <w:spacing w:after="100" w:line="283" w:lineRule="auto"/>
        <w:jc w:val="right"/>
        <w:keepNext w:val="0"/>
        <w:bidi w:val="1"/>
      </w:pPr>
      <w:r>
        <w:rPr>
          <w:rFonts w:ascii="Amiri" w:hAnsi="Amiri" w:cs="Amiri" w:eastAsia="Amiri"/>
          <w:b w:val="0"/>
          <w:i w:val="0"/>
          <w:color w:val="1F2933"/>
          <w:sz w:val="24"/>
          <w:rtl w:val="1"/>
        </w:rPr>
        <w:t>الأشكال التالية حد أدنى دلالي؛ طابقها مع أسلوب المشروع ولا تنسخها حرفيًا إذا كان للمستودع نمط أفضل. المهم هو اكتمال الدلالة وعدم الازدواج.</w:t>
      </w: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ClaimProvenance {</w:t>
            </w:r>
            <w:r>
              <w:br/>
            </w:r>
            <w:r>
              <w:rPr>
                <w:rFonts w:ascii="DejaVu Sans Mono" w:hAnsi="DejaVu Sans Mono" w:cs="DejaVu Sans Mono" w:eastAsia="DejaVu Sans Mono"/>
                <w:b w:val="0"/>
                <w:i w:val="0"/>
                <w:color w:val="24313A"/>
                <w:sz w:val="18"/>
              </w:rPr>
              <w:t xml:space="preserve">  claim_id</w:t>
            </w:r>
            <w:r>
              <w:br/>
            </w:r>
            <w:r>
              <w:rPr>
                <w:rFonts w:ascii="DejaVu Sans Mono" w:hAnsi="DejaVu Sans Mono" w:cs="DejaVu Sans Mono" w:eastAsia="DejaVu Sans Mono"/>
                <w:b w:val="0"/>
                <w:i w:val="0"/>
                <w:color w:val="24313A"/>
                <w:sz w:val="18"/>
              </w:rPr>
              <w:t xml:space="preserve">  source_identity</w:t>
            </w:r>
            <w:r>
              <w:br/>
            </w:r>
            <w:r>
              <w:rPr>
                <w:rFonts w:ascii="DejaVu Sans Mono" w:hAnsi="DejaVu Sans Mono" w:cs="DejaVu Sans Mono" w:eastAsia="DejaVu Sans Mono"/>
                <w:b w:val="0"/>
                <w:i w:val="0"/>
                <w:color w:val="24313A"/>
                <w:sz w:val="18"/>
              </w:rPr>
              <w:t xml:space="preserve">  source_type</w:t>
            </w:r>
            <w:r>
              <w:br/>
            </w:r>
            <w:r>
              <w:rPr>
                <w:rFonts w:ascii="DejaVu Sans Mono" w:hAnsi="DejaVu Sans Mono" w:cs="DejaVu Sans Mono" w:eastAsia="DejaVu Sans Mono"/>
                <w:b w:val="0"/>
                <w:i w:val="0"/>
                <w:color w:val="24313A"/>
                <w:sz w:val="18"/>
              </w:rPr>
              <w:t xml:space="preserve">  originating_layer</w:t>
            </w:r>
            <w:r>
              <w:br/>
            </w:r>
            <w:r>
              <w:rPr>
                <w:rFonts w:ascii="DejaVu Sans Mono" w:hAnsi="DejaVu Sans Mono" w:cs="DejaVu Sans Mono" w:eastAsia="DejaVu Sans Mono"/>
                <w:b w:val="0"/>
                <w:i w:val="0"/>
                <w:color w:val="24313A"/>
                <w:sz w:val="18"/>
              </w:rPr>
              <w:t xml:space="preserve">  carrier</w:t>
            </w:r>
            <w:r>
              <w:br/>
            </w:r>
            <w:r>
              <w:rPr>
                <w:rFonts w:ascii="DejaVu Sans Mono" w:hAnsi="DejaVu Sans Mono" w:cs="DejaVu Sans Mono" w:eastAsia="DejaVu Sans Mono"/>
                <w:b w:val="0"/>
                <w:i w:val="0"/>
                <w:color w:val="24313A"/>
                <w:sz w:val="18"/>
              </w:rPr>
              <w:t xml:space="preserve">  preserved_surface</w:t>
            </w:r>
            <w:r>
              <w:br/>
            </w:r>
            <w:r>
              <w:rPr>
                <w:rFonts w:ascii="DejaVu Sans Mono" w:hAnsi="DejaVu Sans Mono" w:cs="DejaVu Sans Mono" w:eastAsia="DejaVu Sans Mono"/>
                <w:b w:val="0"/>
                <w:i w:val="0"/>
                <w:color w:val="24313A"/>
                <w:sz w:val="18"/>
              </w:rPr>
              <w:t xml:space="preserve">  prior_information</w:t>
            </w:r>
            <w:r>
              <w:br/>
            </w:r>
            <w:r>
              <w:rPr>
                <w:rFonts w:ascii="DejaVu Sans Mono" w:hAnsi="DejaVu Sans Mono" w:cs="DejaVu Sans Mono" w:eastAsia="DejaVu Sans Mono"/>
                <w:b w:val="0"/>
                <w:i w:val="0"/>
                <w:color w:val="24313A"/>
                <w:sz w:val="18"/>
              </w:rPr>
              <w:t xml:space="preserve">  domain</w:t>
            </w:r>
            <w:r>
              <w:br/>
            </w:r>
            <w:r>
              <w:rPr>
                <w:rFonts w:ascii="DejaVu Sans Mono" w:hAnsi="DejaVu Sans Mono" w:cs="DejaVu Sans Mono" w:eastAsia="DejaVu Sans Mono"/>
                <w:b w:val="0"/>
                <w:i w:val="0"/>
                <w:color w:val="24313A"/>
                <w:sz w:val="18"/>
              </w:rPr>
              <w:t xml:space="preserve">  transformation_history</w:t>
            </w:r>
            <w:r>
              <w:br/>
            </w:r>
            <w:r>
              <w:rPr>
                <w:rFonts w:ascii="DejaVu Sans Mono" w:hAnsi="DejaVu Sans Mono" w:cs="DejaVu Sans Mono" w:eastAsia="DejaVu Sans Mono"/>
                <w:b w:val="0"/>
                <w:i w:val="0"/>
                <w:color w:val="24313A"/>
                <w:sz w:val="18"/>
              </w:rPr>
              <w:t xml:space="preserve">  provenance_residuals</w:t>
            </w:r>
            <w:r>
              <w:br/>
            </w:r>
            <w:r>
              <w:rPr>
                <w:rFonts w:ascii="DejaVu Sans Mono" w:hAnsi="DejaVu Sans Mono" w:cs="DejaVu Sans Mono" w:eastAsia="DejaVu Sans Mono"/>
                <w:b w:val="0"/>
                <w:i w:val="0"/>
                <w:color w:val="24313A"/>
                <w:sz w:val="18"/>
              </w:rPr>
              <w:t>}</w:t>
            </w:r>
          </w:p>
        </w:tc>
      </w:tr>
    </w:tbl>
    <w:p>
      <w:pPr>
        <w:spacing w:after="20"/>
      </w:pP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ConceptContract {</w:t>
            </w:r>
            <w:r>
              <w:br/>
            </w:r>
            <w:r>
              <w:rPr>
                <w:rFonts w:ascii="DejaVu Sans Mono" w:hAnsi="DejaVu Sans Mono" w:cs="DejaVu Sans Mono" w:eastAsia="DejaVu Sans Mono"/>
                <w:b w:val="0"/>
                <w:i w:val="0"/>
                <w:color w:val="24313A"/>
                <w:sz w:val="18"/>
              </w:rPr>
              <w:t xml:space="preserve">  concept_id</w:t>
            </w:r>
            <w:r>
              <w:br/>
            </w:r>
            <w:r>
              <w:rPr>
                <w:rFonts w:ascii="DejaVu Sans Mono" w:hAnsi="DejaVu Sans Mono" w:cs="DejaVu Sans Mono" w:eastAsia="DejaVu Sans Mono"/>
                <w:b w:val="0"/>
                <w:i w:val="0"/>
                <w:color w:val="24313A"/>
                <w:sz w:val="18"/>
              </w:rPr>
              <w:t xml:space="preserve">  identity</w:t>
            </w:r>
            <w:r>
              <w:br/>
            </w:r>
            <w:r>
              <w:rPr>
                <w:rFonts w:ascii="DejaVu Sans Mono" w:hAnsi="DejaVu Sans Mono" w:cs="DejaVu Sans Mono" w:eastAsia="DejaVu Sans Mono"/>
                <w:b w:val="0"/>
                <w:i w:val="0"/>
                <w:color w:val="24313A"/>
                <w:sz w:val="18"/>
              </w:rPr>
              <w:t xml:space="preserve">  boundary</w:t>
            </w:r>
            <w:r>
              <w:br/>
            </w:r>
            <w:r>
              <w:rPr>
                <w:rFonts w:ascii="DejaVu Sans Mono" w:hAnsi="DejaVu Sans Mono" w:cs="DejaVu Sans Mono" w:eastAsia="DejaVu Sans Mono"/>
                <w:b w:val="0"/>
                <w:i w:val="0"/>
                <w:color w:val="24313A"/>
                <w:sz w:val="18"/>
              </w:rPr>
              <w:t xml:space="preserve">  domain</w:t>
            </w:r>
            <w:r>
              <w:br/>
            </w:r>
            <w:r>
              <w:rPr>
                <w:rFonts w:ascii="DejaVu Sans Mono" w:hAnsi="DejaVu Sans Mono" w:cs="DejaVu Sans Mono" w:eastAsia="DejaVu Sans Mono"/>
                <w:b w:val="0"/>
                <w:i w:val="0"/>
                <w:color w:val="24313A"/>
                <w:sz w:val="18"/>
              </w:rPr>
              <w:t xml:space="preserve">  intension</w:t>
            </w:r>
            <w:r>
              <w:br/>
            </w:r>
            <w:r>
              <w:rPr>
                <w:rFonts w:ascii="DejaVu Sans Mono" w:hAnsi="DejaVu Sans Mono" w:cs="DejaVu Sans Mono" w:eastAsia="DejaVu Sans Mono"/>
                <w:b w:val="0"/>
                <w:i w:val="0"/>
                <w:color w:val="24313A"/>
                <w:sz w:val="18"/>
              </w:rPr>
              <w:t xml:space="preserve">  extension</w:t>
            </w:r>
            <w:r>
              <w:br/>
            </w:r>
            <w:r>
              <w:rPr>
                <w:rFonts w:ascii="DejaVu Sans Mono" w:hAnsi="DejaVu Sans Mono" w:cs="DejaVu Sans Mono" w:eastAsia="DejaVu Sans Mono"/>
                <w:b w:val="0"/>
                <w:i w:val="0"/>
                <w:color w:val="24313A"/>
                <w:sz w:val="18"/>
              </w:rPr>
              <w:t xml:space="preserve">  conditions</w:t>
            </w:r>
            <w:r>
              <w:br/>
            </w:r>
            <w:r>
              <w:rPr>
                <w:rFonts w:ascii="DejaVu Sans Mono" w:hAnsi="DejaVu Sans Mono" w:cs="DejaVu Sans Mono" w:eastAsia="DejaVu Sans Mono"/>
                <w:b w:val="0"/>
                <w:i w:val="0"/>
                <w:color w:val="24313A"/>
                <w:sz w:val="18"/>
              </w:rPr>
              <w:t xml:space="preserve">  implications</w:t>
            </w:r>
            <w:r>
              <w:br/>
            </w:r>
            <w:r>
              <w:rPr>
                <w:rFonts w:ascii="DejaVu Sans Mono" w:hAnsi="DejaVu Sans Mono" w:cs="DejaVu Sans Mono" w:eastAsia="DejaVu Sans Mono"/>
                <w:b w:val="0"/>
                <w:i w:val="0"/>
                <w:color w:val="24313A"/>
                <w:sz w:val="18"/>
              </w:rPr>
              <w:t xml:space="preserve">  exclusions</w:t>
            </w:r>
            <w:r>
              <w:br/>
            </w:r>
            <w:r>
              <w:rPr>
                <w:rFonts w:ascii="DejaVu Sans Mono" w:hAnsi="DejaVu Sans Mono" w:cs="DejaVu Sans Mono" w:eastAsia="DejaVu Sans Mono"/>
                <w:b w:val="0"/>
                <w:i w:val="0"/>
                <w:color w:val="24313A"/>
                <w:sz w:val="18"/>
              </w:rPr>
              <w:t xml:space="preserve">  evidence</w:t>
            </w:r>
            <w:r>
              <w:br/>
            </w:r>
            <w:r>
              <w:rPr>
                <w:rFonts w:ascii="DejaVu Sans Mono" w:hAnsi="DejaVu Sans Mono" w:cs="DejaVu Sans Mono" w:eastAsia="DejaVu Sans Mono"/>
                <w:b w:val="0"/>
                <w:i w:val="0"/>
                <w:color w:val="24313A"/>
                <w:sz w:val="18"/>
              </w:rPr>
              <w:t xml:space="preserve">  evidence_rank</w:t>
            </w:r>
            <w:r>
              <w:br/>
            </w:r>
            <w:r>
              <w:rPr>
                <w:rFonts w:ascii="DejaVu Sans Mono" w:hAnsi="DejaVu Sans Mono" w:cs="DejaVu Sans Mono" w:eastAsia="DejaVu Sans Mono"/>
                <w:b w:val="0"/>
                <w:i w:val="0"/>
                <w:color w:val="24313A"/>
                <w:sz w:val="18"/>
              </w:rPr>
              <w:t xml:space="preserve">  residuals</w:t>
            </w:r>
            <w:r>
              <w:br/>
            </w:r>
            <w:r>
              <w:rPr>
                <w:rFonts w:ascii="DejaVu Sans Mono" w:hAnsi="DejaVu Sans Mono" w:cs="DejaVu Sans Mono" w:eastAsia="DejaVu Sans Mono"/>
                <w:b w:val="0"/>
                <w:i w:val="0"/>
                <w:color w:val="24313A"/>
                <w:sz w:val="18"/>
              </w:rPr>
              <w:t xml:space="preserve">  review_trace</w:t>
            </w:r>
            <w:r>
              <w:br/>
            </w:r>
            <w:r>
              <w:rPr>
                <w:rFonts w:ascii="DejaVu Sans Mono" w:hAnsi="DejaVu Sans Mono" w:cs="DejaVu Sans Mono" w:eastAsia="DejaVu Sans Mono"/>
                <w:b w:val="0"/>
                <w:i w:val="0"/>
                <w:color w:val="24313A"/>
                <w:sz w:val="18"/>
              </w:rPr>
              <w:t>}</w:t>
            </w:r>
          </w:p>
        </w:tc>
      </w:tr>
    </w:tbl>
    <w:p>
      <w:pPr>
        <w:spacing w:after="20"/>
      </w:pP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IfadahCandidate {</w:t>
            </w:r>
            <w:r>
              <w:br/>
            </w:r>
            <w:r>
              <w:rPr>
                <w:rFonts w:ascii="DejaVu Sans Mono" w:hAnsi="DejaVu Sans Mono" w:cs="DejaVu Sans Mono" w:eastAsia="DejaVu Sans Mono"/>
                <w:b w:val="0"/>
                <w:i w:val="0"/>
                <w:color w:val="24313A"/>
                <w:sz w:val="18"/>
              </w:rPr>
              <w:t xml:space="preserve">  proposition</w:t>
            </w:r>
            <w:r>
              <w:br/>
            </w:r>
            <w:r>
              <w:rPr>
                <w:rFonts w:ascii="DejaVu Sans Mono" w:hAnsi="DejaVu Sans Mono" w:cs="DejaVu Sans Mono" w:eastAsia="DejaVu Sans Mono"/>
                <w:b w:val="0"/>
                <w:i w:val="0"/>
                <w:color w:val="24313A"/>
                <w:sz w:val="18"/>
              </w:rPr>
              <w:t xml:space="preserve">  source_utterance</w:t>
            </w:r>
            <w:r>
              <w:br/>
            </w:r>
            <w:r>
              <w:rPr>
                <w:rFonts w:ascii="DejaVu Sans Mono" w:hAnsi="DejaVu Sans Mono" w:cs="DejaVu Sans Mono" w:eastAsia="DejaVu Sans Mono"/>
                <w:b w:val="0"/>
                <w:i w:val="0"/>
                <w:color w:val="24313A"/>
                <w:sz w:val="18"/>
              </w:rPr>
              <w:t xml:space="preserve">  licensed_relations</w:t>
            </w:r>
            <w:r>
              <w:br/>
            </w:r>
            <w:r>
              <w:rPr>
                <w:rFonts w:ascii="DejaVu Sans Mono" w:hAnsi="DejaVu Sans Mono" w:cs="DejaVu Sans Mono" w:eastAsia="DejaVu Sans Mono"/>
                <w:b w:val="0"/>
                <w:i w:val="0"/>
                <w:color w:val="24313A"/>
                <w:sz w:val="18"/>
              </w:rPr>
              <w:t xml:space="preserve">  domain</w:t>
            </w:r>
            <w:r>
              <w:br/>
            </w:r>
            <w:r>
              <w:rPr>
                <w:rFonts w:ascii="DejaVu Sans Mono" w:hAnsi="DejaVu Sans Mono" w:cs="DejaVu Sans Mono" w:eastAsia="DejaVu Sans Mono"/>
                <w:b w:val="0"/>
                <w:i w:val="0"/>
                <w:color w:val="24313A"/>
                <w:sz w:val="18"/>
              </w:rPr>
              <w:t xml:space="preserve">  evidence</w:t>
            </w:r>
            <w:r>
              <w:br/>
            </w:r>
            <w:r>
              <w:rPr>
                <w:rFonts w:ascii="DejaVu Sans Mono" w:hAnsi="DejaVu Sans Mono" w:cs="DejaVu Sans Mono" w:eastAsia="DejaVu Sans Mono"/>
                <w:b w:val="0"/>
                <w:i w:val="0"/>
                <w:color w:val="24313A"/>
                <w:sz w:val="18"/>
              </w:rPr>
              <w:t xml:space="preserve">  evidence_rank</w:t>
            </w:r>
            <w:r>
              <w:br/>
            </w:r>
            <w:r>
              <w:rPr>
                <w:rFonts w:ascii="DejaVu Sans Mono" w:hAnsi="DejaVu Sans Mono" w:cs="DejaVu Sans Mono" w:eastAsia="DejaVu Sans Mono"/>
                <w:b w:val="0"/>
                <w:i w:val="0"/>
                <w:color w:val="24313A"/>
                <w:sz w:val="18"/>
              </w:rPr>
              <w:t xml:space="preserve">  assumptions</w:t>
            </w:r>
            <w:r>
              <w:br/>
            </w:r>
            <w:r>
              <w:rPr>
                <w:rFonts w:ascii="DejaVu Sans Mono" w:hAnsi="DejaVu Sans Mono" w:cs="DejaVu Sans Mono" w:eastAsia="DejaVu Sans Mono"/>
                <w:b w:val="0"/>
                <w:i w:val="0"/>
                <w:color w:val="24313A"/>
                <w:sz w:val="18"/>
              </w:rPr>
              <w:t xml:space="preserve">  blockers</w:t>
            </w:r>
            <w:r>
              <w:br/>
            </w:r>
            <w:r>
              <w:rPr>
                <w:rFonts w:ascii="DejaVu Sans Mono" w:hAnsi="DejaVu Sans Mono" w:cs="DejaVu Sans Mono" w:eastAsia="DejaVu Sans Mono"/>
                <w:b w:val="0"/>
                <w:i w:val="0"/>
                <w:color w:val="24313A"/>
                <w:sz w:val="18"/>
              </w:rPr>
              <w:t xml:space="preserve">  residuals</w:t>
            </w:r>
            <w:r>
              <w:br/>
            </w:r>
            <w:r>
              <w:rPr>
                <w:rFonts w:ascii="DejaVu Sans Mono" w:hAnsi="DejaVu Sans Mono" w:cs="DejaVu Sans Mono" w:eastAsia="DejaVu Sans Mono"/>
                <w:b w:val="0"/>
                <w:i w:val="0"/>
                <w:color w:val="24313A"/>
                <w:sz w:val="18"/>
              </w:rPr>
              <w:t xml:space="preserve">  prohibited_inferences</w:t>
            </w:r>
            <w:r>
              <w:br/>
            </w:r>
            <w:r>
              <w:rPr>
                <w:rFonts w:ascii="DejaVu Sans Mono" w:hAnsi="DejaVu Sans Mono" w:cs="DejaVu Sans Mono" w:eastAsia="DejaVu Sans Mono"/>
                <w:b w:val="0"/>
                <w:i w:val="0"/>
                <w:color w:val="24313A"/>
                <w:sz w:val="18"/>
              </w:rPr>
              <w:t>}</w:t>
            </w:r>
          </w:p>
        </w:tc>
      </w:tr>
    </w:tbl>
    <w:p>
      <w:pPr>
        <w:spacing w:after="20"/>
      </w:pP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Assessment {</w:t>
            </w:r>
            <w:r>
              <w:br/>
            </w:r>
            <w:r>
              <w:rPr>
                <w:rFonts w:ascii="DejaVu Sans Mono" w:hAnsi="DejaVu Sans Mono" w:cs="DejaVu Sans Mono" w:eastAsia="DejaVu Sans Mono"/>
                <w:b w:val="0"/>
                <w:i w:val="0"/>
                <w:color w:val="24313A"/>
                <w:sz w:val="18"/>
              </w:rPr>
              <w:t xml:space="preserve">  intrinsic_verdict: SAHIH | FASID | BATIL | UNDETERMINED</w:t>
            </w:r>
            <w:r>
              <w:br/>
            </w:r>
            <w:r>
              <w:rPr>
                <w:rFonts w:ascii="DejaVu Sans Mono" w:hAnsi="DejaVu Sans Mono" w:cs="DejaVu Sans Mono" w:eastAsia="DejaVu Sans Mono"/>
                <w:b w:val="0"/>
                <w:i w:val="0"/>
                <w:color w:val="24313A"/>
                <w:sz w:val="18"/>
              </w:rPr>
              <w:t xml:space="preserve">  operational_status: LICENSED | BLOCKED | DEFERRED | RESIDUAL</w:t>
            </w:r>
            <w:r>
              <w:br/>
            </w:r>
            <w:r>
              <w:rPr>
                <w:rFonts w:ascii="DejaVu Sans Mono" w:hAnsi="DejaVu Sans Mono" w:cs="DejaVu Sans Mono" w:eastAsia="DejaVu Sans Mono"/>
                <w:b w:val="0"/>
                <w:i w:val="0"/>
                <w:color w:val="24313A"/>
                <w:sz w:val="18"/>
              </w:rPr>
              <w:t xml:space="preserve">  evidence_rank</w:t>
            </w:r>
            <w:r>
              <w:br/>
            </w:r>
            <w:r>
              <w:rPr>
                <w:rFonts w:ascii="DejaVu Sans Mono" w:hAnsi="DejaVu Sans Mono" w:cs="DejaVu Sans Mono" w:eastAsia="DejaVu Sans Mono"/>
                <w:b w:val="0"/>
                <w:i w:val="0"/>
                <w:color w:val="24313A"/>
                <w:sz w:val="18"/>
              </w:rPr>
              <w:t xml:space="preserve">  reasons</w:t>
            </w:r>
            <w:r>
              <w:br/>
            </w:r>
            <w:r>
              <w:rPr>
                <w:rFonts w:ascii="DejaVu Sans Mono" w:hAnsi="DejaVu Sans Mono" w:cs="DejaVu Sans Mono" w:eastAsia="DejaVu Sans Mono"/>
                <w:b w:val="0"/>
                <w:i w:val="0"/>
                <w:color w:val="24313A"/>
                <w:sz w:val="18"/>
              </w:rPr>
              <w:t xml:space="preserve">  residuals</w:t>
            </w:r>
            <w:r>
              <w:br/>
            </w:r>
            <w:r>
              <w:rPr>
                <w:rFonts w:ascii="DejaVu Sans Mono" w:hAnsi="DejaVu Sans Mono" w:cs="DejaVu Sans Mono" w:eastAsia="DejaVu Sans Mono"/>
                <w:b w:val="0"/>
                <w:i w:val="0"/>
                <w:color w:val="24313A"/>
                <w:sz w:val="18"/>
              </w:rPr>
              <w:t>}</w:t>
            </w:r>
          </w:p>
        </w:tc>
      </w:tr>
    </w:tbl>
    <w:p>
      <w:pPr>
        <w:spacing w:after="20"/>
      </w:pP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TransitionTrace {</w:t>
            </w:r>
            <w:r>
              <w:br/>
            </w:r>
            <w:r>
              <w:rPr>
                <w:rFonts w:ascii="DejaVu Sans Mono" w:hAnsi="DejaVu Sans Mono" w:cs="DejaVu Sans Mono" w:eastAsia="DejaVu Sans Mono"/>
                <w:b w:val="0"/>
                <w:i w:val="0"/>
                <w:color w:val="24313A"/>
                <w:sz w:val="18"/>
              </w:rPr>
              <w:t xml:space="preserve">  from_layer</w:t>
            </w:r>
            <w:r>
              <w:br/>
            </w:r>
            <w:r>
              <w:rPr>
                <w:rFonts w:ascii="DejaVu Sans Mono" w:hAnsi="DejaVu Sans Mono" w:cs="DejaVu Sans Mono" w:eastAsia="DejaVu Sans Mono"/>
                <w:b w:val="0"/>
                <w:i w:val="0"/>
                <w:color w:val="24313A"/>
                <w:sz w:val="18"/>
              </w:rPr>
              <w:t xml:space="preserve">  to_layer</w:t>
            </w:r>
            <w:r>
              <w:br/>
            </w:r>
            <w:r>
              <w:rPr>
                <w:rFonts w:ascii="DejaVu Sans Mono" w:hAnsi="DejaVu Sans Mono" w:cs="DejaVu Sans Mono" w:eastAsia="DejaVu Sans Mono"/>
                <w:b w:val="0"/>
                <w:i w:val="0"/>
                <w:color w:val="24313A"/>
                <w:sz w:val="18"/>
              </w:rPr>
              <w:t xml:space="preserve">  input_identity</w:t>
            </w:r>
            <w:r>
              <w:br/>
            </w:r>
            <w:r>
              <w:rPr>
                <w:rFonts w:ascii="DejaVu Sans Mono" w:hAnsi="DejaVu Sans Mono" w:cs="DejaVu Sans Mono" w:eastAsia="DejaVu Sans Mono"/>
                <w:b w:val="0"/>
                <w:i w:val="0"/>
                <w:color w:val="24313A"/>
                <w:sz w:val="18"/>
              </w:rPr>
              <w:t xml:space="preserve">  output_identity</w:t>
            </w:r>
            <w:r>
              <w:br/>
            </w:r>
            <w:r>
              <w:rPr>
                <w:rFonts w:ascii="DejaVu Sans Mono" w:hAnsi="DejaVu Sans Mono" w:cs="DejaVu Sans Mono" w:eastAsia="DejaVu Sans Mono"/>
                <w:b w:val="0"/>
                <w:i w:val="0"/>
                <w:color w:val="24313A"/>
                <w:sz w:val="18"/>
              </w:rPr>
              <w:t xml:space="preserve">  transformation</w:t>
            </w:r>
            <w:r>
              <w:br/>
            </w:r>
            <w:r>
              <w:rPr>
                <w:rFonts w:ascii="DejaVu Sans Mono" w:hAnsi="DejaVu Sans Mono" w:cs="DejaVu Sans Mono" w:eastAsia="DejaVu Sans Mono"/>
                <w:b w:val="0"/>
                <w:i w:val="0"/>
                <w:color w:val="24313A"/>
                <w:sz w:val="18"/>
              </w:rPr>
              <w:t xml:space="preserve">  evidence_used</w:t>
            </w:r>
            <w:r>
              <w:br/>
            </w:r>
            <w:r>
              <w:rPr>
                <w:rFonts w:ascii="DejaVu Sans Mono" w:hAnsi="DejaVu Sans Mono" w:cs="DejaVu Sans Mono" w:eastAsia="DejaVu Sans Mono"/>
                <w:b w:val="0"/>
                <w:i w:val="0"/>
                <w:color w:val="24313A"/>
                <w:sz w:val="18"/>
              </w:rPr>
              <w:t xml:space="preserve">  conditions_checked</w:t>
            </w:r>
            <w:r>
              <w:br/>
            </w:r>
            <w:r>
              <w:rPr>
                <w:rFonts w:ascii="DejaVu Sans Mono" w:hAnsi="DejaVu Sans Mono" w:cs="DejaVu Sans Mono" w:eastAsia="DejaVu Sans Mono"/>
                <w:b w:val="0"/>
                <w:i w:val="0"/>
                <w:color w:val="24313A"/>
                <w:sz w:val="18"/>
              </w:rPr>
              <w:t xml:space="preserve">  blockers_checked</w:t>
            </w:r>
            <w:r>
              <w:br/>
            </w:r>
            <w:r>
              <w:rPr>
                <w:rFonts w:ascii="DejaVu Sans Mono" w:hAnsi="DejaVu Sans Mono" w:cs="DejaVu Sans Mono" w:eastAsia="DejaVu Sans Mono"/>
                <w:b w:val="0"/>
                <w:i w:val="0"/>
                <w:color w:val="24313A"/>
                <w:sz w:val="18"/>
              </w:rPr>
              <w:t xml:space="preserve">  defeaters_checked</w:t>
            </w:r>
            <w:r>
              <w:br/>
            </w:r>
            <w:r>
              <w:rPr>
                <w:rFonts w:ascii="DejaVu Sans Mono" w:hAnsi="DejaVu Sans Mono" w:cs="DejaVu Sans Mono" w:eastAsia="DejaVu Sans Mono"/>
                <w:b w:val="0"/>
                <w:i w:val="0"/>
                <w:color w:val="24313A"/>
                <w:sz w:val="18"/>
              </w:rPr>
              <w:t xml:space="preserve">  rank_before</w:t>
            </w:r>
            <w:r>
              <w:br/>
            </w:r>
            <w:r>
              <w:rPr>
                <w:rFonts w:ascii="DejaVu Sans Mono" w:hAnsi="DejaVu Sans Mono" w:cs="DejaVu Sans Mono" w:eastAsia="DejaVu Sans Mono"/>
                <w:b w:val="0"/>
                <w:i w:val="0"/>
                <w:color w:val="24313A"/>
                <w:sz w:val="18"/>
              </w:rPr>
              <w:t xml:space="preserve">  rank_after</w:t>
            </w:r>
            <w:r>
              <w:br/>
            </w:r>
            <w:r>
              <w:rPr>
                <w:rFonts w:ascii="DejaVu Sans Mono" w:hAnsi="DejaVu Sans Mono" w:cs="DejaVu Sans Mono" w:eastAsia="DejaVu Sans Mono"/>
                <w:b w:val="0"/>
                <w:i w:val="0"/>
                <w:color w:val="24313A"/>
                <w:sz w:val="18"/>
              </w:rPr>
              <w:t xml:space="preserve">  verdict</w:t>
            </w:r>
            <w:r>
              <w:br/>
            </w:r>
            <w:r>
              <w:rPr>
                <w:rFonts w:ascii="DejaVu Sans Mono" w:hAnsi="DejaVu Sans Mono" w:cs="DejaVu Sans Mono" w:eastAsia="DejaVu Sans Mono"/>
                <w:b w:val="0"/>
                <w:i w:val="0"/>
                <w:color w:val="24313A"/>
                <w:sz w:val="18"/>
              </w:rPr>
              <w:t xml:space="preserve">  residuals</w:t>
            </w:r>
            <w:r>
              <w:br/>
            </w:r>
            <w:r>
              <w:rPr>
                <w:rFonts w:ascii="DejaVu Sans Mono" w:hAnsi="DejaVu Sans Mono" w:cs="DejaVu Sans Mono" w:eastAsia="DejaVu Sans Mono"/>
                <w:b w:val="0"/>
                <w:i w:val="0"/>
                <w:color w:val="24313A"/>
                <w:sz w:val="18"/>
              </w:rPr>
              <w:t xml:space="preserve">  implementation_version</w:t>
            </w:r>
            <w:r>
              <w:br/>
            </w:r>
            <w:r>
              <w:rPr>
                <w:rFonts w:ascii="DejaVu Sans Mono" w:hAnsi="DejaVu Sans Mono" w:cs="DejaVu Sans Mono" w:eastAsia="DejaVu Sans Mono"/>
                <w:b w:val="0"/>
                <w:i w:val="0"/>
                <w:color w:val="24313A"/>
                <w:sz w:val="18"/>
              </w:rPr>
              <w:t xml:space="preserve">  timestamp</w:t>
            </w:r>
            <w:r>
              <w:br/>
            </w:r>
            <w:r>
              <w:rPr>
                <w:rFonts w:ascii="DejaVu Sans Mono" w:hAnsi="DejaVu Sans Mono" w:cs="DejaVu Sans Mono" w:eastAsia="DejaVu Sans Mono"/>
                <w:b w:val="0"/>
                <w:i w:val="0"/>
                <w:color w:val="24313A"/>
                <w:sz w:val="18"/>
              </w:rPr>
              <w:t>}</w:t>
            </w:r>
          </w:p>
        </w:tc>
      </w:tr>
    </w:tbl>
    <w:p>
      <w:pPr>
        <w:spacing w:after="20"/>
      </w:pP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RepairDirective {</w:t>
            </w:r>
            <w:r>
              <w:br/>
            </w:r>
            <w:r>
              <w:rPr>
                <w:rFonts w:ascii="DejaVu Sans Mono" w:hAnsi="DejaVu Sans Mono" w:cs="DejaVu Sans Mono" w:eastAsia="DejaVu Sans Mono"/>
                <w:b w:val="0"/>
                <w:i w:val="0"/>
                <w:color w:val="24313A"/>
                <w:sz w:val="18"/>
              </w:rPr>
              <w:t xml:space="preserve">  failure_layer</w:t>
            </w:r>
            <w:r>
              <w:br/>
            </w:r>
            <w:r>
              <w:rPr>
                <w:rFonts w:ascii="DejaVu Sans Mono" w:hAnsi="DejaVu Sans Mono" w:cs="DejaVu Sans Mono" w:eastAsia="DejaVu Sans Mono"/>
                <w:b w:val="0"/>
                <w:i w:val="0"/>
                <w:color w:val="24313A"/>
                <w:sz w:val="18"/>
              </w:rPr>
              <w:t xml:space="preserve">  return_to_layer</w:t>
            </w:r>
            <w:r>
              <w:br/>
            </w:r>
            <w:r>
              <w:rPr>
                <w:rFonts w:ascii="DejaVu Sans Mono" w:hAnsi="DejaVu Sans Mono" w:cs="DejaVu Sans Mono" w:eastAsia="DejaVu Sans Mono"/>
                <w:b w:val="0"/>
                <w:i w:val="0"/>
                <w:color w:val="24313A"/>
                <w:sz w:val="18"/>
              </w:rPr>
              <w:t xml:space="preserve">  failed_gate</w:t>
            </w:r>
            <w:r>
              <w:br/>
            </w:r>
            <w:r>
              <w:rPr>
                <w:rFonts w:ascii="DejaVu Sans Mono" w:hAnsi="DejaVu Sans Mono" w:cs="DejaVu Sans Mono" w:eastAsia="DejaVu Sans Mono"/>
                <w:b w:val="0"/>
                <w:i w:val="0"/>
                <w:color w:val="24313A"/>
                <w:sz w:val="18"/>
              </w:rPr>
              <w:t xml:space="preserve">  missing_condition</w:t>
            </w:r>
            <w:r>
              <w:br/>
            </w:r>
            <w:r>
              <w:rPr>
                <w:rFonts w:ascii="DejaVu Sans Mono" w:hAnsi="DejaVu Sans Mono" w:cs="DejaVu Sans Mono" w:eastAsia="DejaVu Sans Mono"/>
                <w:b w:val="0"/>
                <w:i w:val="0"/>
                <w:color w:val="24313A"/>
                <w:sz w:val="18"/>
              </w:rPr>
              <w:t xml:space="preserve">  missing_evidence</w:t>
            </w:r>
            <w:r>
              <w:br/>
            </w:r>
            <w:r>
              <w:rPr>
                <w:rFonts w:ascii="DejaVu Sans Mono" w:hAnsi="DejaVu Sans Mono" w:cs="DejaVu Sans Mono" w:eastAsia="DejaVu Sans Mono"/>
                <w:b w:val="0"/>
                <w:i w:val="0"/>
                <w:color w:val="24313A"/>
                <w:sz w:val="18"/>
              </w:rPr>
              <w:t xml:space="preserve">  active_blocker</w:t>
            </w:r>
            <w:r>
              <w:br/>
            </w:r>
            <w:r>
              <w:rPr>
                <w:rFonts w:ascii="DejaVu Sans Mono" w:hAnsi="DejaVu Sans Mono" w:cs="DejaVu Sans Mono" w:eastAsia="DejaVu Sans Mono"/>
                <w:b w:val="0"/>
                <w:i w:val="0"/>
                <w:color w:val="24313A"/>
                <w:sz w:val="18"/>
              </w:rPr>
              <w:t xml:space="preserve">  challenged_cause</w:t>
            </w:r>
            <w:r>
              <w:br/>
            </w:r>
            <w:r>
              <w:rPr>
                <w:rFonts w:ascii="DejaVu Sans Mono" w:hAnsi="DejaVu Sans Mono" w:cs="DejaVu Sans Mono" w:eastAsia="DejaVu Sans Mono"/>
                <w:b w:val="0"/>
                <w:i w:val="0"/>
                <w:color w:val="24313A"/>
                <w:sz w:val="18"/>
              </w:rPr>
              <w:t xml:space="preserve">  required_correction</w:t>
            </w:r>
            <w:r>
              <w:br/>
            </w:r>
            <w:r>
              <w:rPr>
                <w:rFonts w:ascii="DejaVu Sans Mono" w:hAnsi="DejaVu Sans Mono" w:cs="DejaVu Sans Mono" w:eastAsia="DejaVu Sans Mono"/>
                <w:b w:val="0"/>
                <w:i w:val="0"/>
                <w:color w:val="24313A"/>
                <w:sz w:val="18"/>
              </w:rPr>
              <w:t xml:space="preserve">  retry_from</w:t>
            </w:r>
            <w:r>
              <w:br/>
            </w:r>
            <w:r>
              <w:rPr>
                <w:rFonts w:ascii="DejaVu Sans Mono" w:hAnsi="DejaVu Sans Mono" w:cs="DejaVu Sans Mono" w:eastAsia="DejaVu Sans Mono"/>
                <w:b w:val="0"/>
                <w:i w:val="0"/>
                <w:color w:val="24313A"/>
                <w:sz w:val="18"/>
              </w:rPr>
              <w:t xml:space="preserve">  retry_scope</w:t>
            </w:r>
            <w:r>
              <w:br/>
            </w:r>
            <w:r>
              <w:rPr>
                <w:rFonts w:ascii="DejaVu Sans Mono" w:hAnsi="DejaVu Sans Mono" w:cs="DejaVu Sans Mono" w:eastAsia="DejaVu Sans Mono"/>
                <w:b w:val="0"/>
                <w:i w:val="0"/>
                <w:color w:val="24313A"/>
                <w:sz w:val="18"/>
              </w:rPr>
              <w:t>}</w:t>
            </w:r>
          </w:p>
        </w:tc>
      </w:tr>
    </w:tbl>
    <w:p>
      <w:pPr>
        <w:spacing w:after="20"/>
      </w:pP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CorrespondenceAssessment {</w:t>
            </w:r>
            <w:r>
              <w:br/>
            </w:r>
            <w:r>
              <w:rPr>
                <w:rFonts w:ascii="DejaVu Sans Mono" w:hAnsi="DejaVu Sans Mono" w:cs="DejaVu Sans Mono" w:eastAsia="DejaVu Sans Mono"/>
                <w:b w:val="0"/>
                <w:i w:val="0"/>
                <w:color w:val="24313A"/>
                <w:sz w:val="18"/>
              </w:rPr>
              <w:t xml:space="preserve">  expected_reality</w:t>
            </w:r>
            <w:r>
              <w:br/>
            </w:r>
            <w:r>
              <w:rPr>
                <w:rFonts w:ascii="DejaVu Sans Mono" w:hAnsi="DejaVu Sans Mono" w:cs="DejaVu Sans Mono" w:eastAsia="DejaVu Sans Mono"/>
                <w:b w:val="0"/>
                <w:i w:val="0"/>
                <w:color w:val="24313A"/>
                <w:sz w:val="18"/>
              </w:rPr>
              <w:t xml:space="preserve">  observed_reality</w:t>
            </w:r>
            <w:r>
              <w:br/>
            </w:r>
            <w:r>
              <w:rPr>
                <w:rFonts w:ascii="DejaVu Sans Mono" w:hAnsi="DejaVu Sans Mono" w:cs="DejaVu Sans Mono" w:eastAsia="DejaVu Sans Mono"/>
                <w:b w:val="0"/>
                <w:i w:val="0"/>
                <w:color w:val="24313A"/>
                <w:sz w:val="18"/>
              </w:rPr>
              <w:t xml:space="preserve">  reality_domain</w:t>
            </w:r>
            <w:r>
              <w:br/>
            </w:r>
            <w:r>
              <w:rPr>
                <w:rFonts w:ascii="DejaVu Sans Mono" w:hAnsi="DejaVu Sans Mono" w:cs="DejaVu Sans Mono" w:eastAsia="DejaVu Sans Mono"/>
                <w:b w:val="0"/>
                <w:i w:val="0"/>
                <w:color w:val="24313A"/>
                <w:sz w:val="18"/>
              </w:rPr>
              <w:t xml:space="preserve">  comparison_criteria</w:t>
            </w:r>
            <w:r>
              <w:br/>
            </w:r>
            <w:r>
              <w:rPr>
                <w:rFonts w:ascii="DejaVu Sans Mono" w:hAnsi="DejaVu Sans Mono" w:cs="DejaVu Sans Mono" w:eastAsia="DejaVu Sans Mono"/>
                <w:b w:val="0"/>
                <w:i w:val="0"/>
                <w:color w:val="24313A"/>
                <w:sz w:val="18"/>
              </w:rPr>
              <w:t xml:space="preserve">  matched_elements</w:t>
            </w:r>
            <w:r>
              <w:br/>
            </w:r>
            <w:r>
              <w:rPr>
                <w:rFonts w:ascii="DejaVu Sans Mono" w:hAnsi="DejaVu Sans Mono" w:cs="DejaVu Sans Mono" w:eastAsia="DejaVu Sans Mono"/>
                <w:b w:val="0"/>
                <w:i w:val="0"/>
                <w:color w:val="24313A"/>
                <w:sz w:val="18"/>
              </w:rPr>
              <w:t xml:space="preserve">  mismatched_elements</w:t>
            </w:r>
            <w:r>
              <w:br/>
            </w:r>
            <w:r>
              <w:rPr>
                <w:rFonts w:ascii="DejaVu Sans Mono" w:hAnsi="DejaVu Sans Mono" w:cs="DejaVu Sans Mono" w:eastAsia="DejaVu Sans Mono"/>
                <w:b w:val="0"/>
                <w:i w:val="0"/>
                <w:color w:val="24313A"/>
                <w:sz w:val="18"/>
              </w:rPr>
              <w:t xml:space="preserve">  unobservable_elements</w:t>
            </w:r>
            <w:r>
              <w:br/>
            </w:r>
            <w:r>
              <w:rPr>
                <w:rFonts w:ascii="DejaVu Sans Mono" w:hAnsi="DejaVu Sans Mono" w:cs="DejaVu Sans Mono" w:eastAsia="DejaVu Sans Mono"/>
                <w:b w:val="0"/>
                <w:i w:val="0"/>
                <w:color w:val="24313A"/>
                <w:sz w:val="18"/>
              </w:rPr>
              <w:t xml:space="preserve">  contrary_evidence</w:t>
            </w:r>
            <w:r>
              <w:br/>
            </w:r>
            <w:r>
              <w:rPr>
                <w:rFonts w:ascii="DejaVu Sans Mono" w:hAnsi="DejaVu Sans Mono" w:cs="DejaVu Sans Mono" w:eastAsia="DejaVu Sans Mono"/>
                <w:b w:val="0"/>
                <w:i w:val="0"/>
                <w:color w:val="24313A"/>
                <w:sz w:val="18"/>
              </w:rPr>
              <w:t xml:space="preserve">  status</w:t>
            </w:r>
            <w:r>
              <w:br/>
            </w:r>
            <w:r>
              <w:rPr>
                <w:rFonts w:ascii="DejaVu Sans Mono" w:hAnsi="DejaVu Sans Mono" w:cs="DejaVu Sans Mono" w:eastAsia="DejaVu Sans Mono"/>
                <w:b w:val="0"/>
                <w:i w:val="0"/>
                <w:color w:val="24313A"/>
                <w:sz w:val="18"/>
              </w:rPr>
              <w:t xml:space="preserve">  residuals</w:t>
            </w:r>
            <w:r>
              <w:br/>
            </w:r>
            <w:r>
              <w:rPr>
                <w:rFonts w:ascii="DejaVu Sans Mono" w:hAnsi="DejaVu Sans Mono" w:cs="DejaVu Sans Mono" w:eastAsia="DejaVu Sans Mono"/>
                <w:b w:val="0"/>
                <w:i w:val="0"/>
                <w:color w:val="24313A"/>
                <w:sz w:val="18"/>
              </w:rPr>
              <w:t xml:space="preserve">  review_required</w:t>
            </w:r>
            <w:r>
              <w:br/>
            </w:r>
            <w:r>
              <w:rPr>
                <w:rFonts w:ascii="DejaVu Sans Mono" w:hAnsi="DejaVu Sans Mono" w:cs="DejaVu Sans Mono" w:eastAsia="DejaVu Sans Mono"/>
                <w:b w:val="0"/>
                <w:i w:val="0"/>
                <w:color w:val="24313A"/>
                <w:sz w:val="18"/>
              </w:rPr>
              <w:t>}</w:t>
            </w:r>
          </w:p>
        </w:tc>
      </w:tr>
    </w:tbl>
    <w:p>
      <w:pPr>
        <w:spacing w:after="20"/>
      </w:pPr>
    </w:p>
    <w:p>
      <w:pPr>
        <w:pStyle w:val="Heading1"/>
        <w:pageBreakBefore/>
        <w:jc w:val="right"/>
        <w:bidi w:val="1"/>
      </w:pPr>
      <w:r>
        <w:rPr>
          <w:rFonts w:ascii="Noto Sans Arabic" w:hAnsi="Noto Sans Arabic" w:cs="Noto Sans Arabic" w:eastAsia="Noto Sans Arabic"/>
          <w:b/>
          <w:i w:val="0"/>
          <w:color w:val="16324F"/>
          <w:sz w:val="36"/>
          <w:rtl w:val="1"/>
        </w:rPr>
        <w:t>8. قواعد الاندماج والتوافق ومنع الازدواج</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استخدم الأنواع الحالية إن كانت تحقق المعنى؛ وسعها بدل إنشاء نظير مكرر.</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إذا وجدت نوعين يؤديان الوظيفة نفسها، عين مالكًا واحدًا وخطة إلغاء للآخر مع adapters انتقالية.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تنقل ملفات بين المستودعات قبل إثبات الملكية والتبعيات واختبارات الاستيراد.</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أضف الحقول الجديدة بصورة backward-compatible أولًا، ولا تستخدم None إذا كان المشروع يميز Unknown/NotApplicable دلاليًا إلا وفق نمطه المعتمد.</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تغير أسماء المخرجات العامة أو JSON keys الحالية من غير versioning وهجرة.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تجعل التوثيق يزعم أن correspondence أو action منفذان إذا أضيفت عقودهما فقط.</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تعالج الفجوات بإضافة تعليقات TODO وحدها؛ إما تنفيذ واختبار، أو Deferred دستوري موثق بسبب واضح.</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تُدخل مكتبة أو إطارًا جديدًا إلا لحاجة مثبتة لا يغطيها الموجود.</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تغير منطق التطبيع أو الفهرسة أو الكتالوجات غير المتعلقة بهذا النطاق.</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حافظ على البيانات والأمثلة الحالية، ولا تزرع كلمة أو جذرًا أو وزنًا لإرضاء اختبار جديد.</w:t>
      </w:r>
    </w:p>
    <w:p>
      <w:pPr>
        <w:pStyle w:val="Heading1"/>
        <w:pageBreakBefore/>
        <w:jc w:val="right"/>
        <w:bidi w:val="1"/>
      </w:pPr>
      <w:r>
        <w:rPr>
          <w:rFonts w:ascii="Noto Sans Arabic" w:hAnsi="Noto Sans Arabic" w:cs="Noto Sans Arabic" w:eastAsia="Noto Sans Arabic"/>
          <w:b/>
          <w:i w:val="0"/>
          <w:color w:val="16324F"/>
          <w:sz w:val="36"/>
          <w:rtl w:val="1"/>
        </w:rPr>
        <w:t>9. الاختبارات ومعايير القبول</w:t>
      </w:r>
    </w:p>
    <w:p>
      <w:pPr>
        <w:pStyle w:val="Heading2"/>
        <w:jc w:val="right"/>
        <w:bidi w:val="1"/>
      </w:pPr>
      <w:r>
        <w:rPr>
          <w:rFonts w:ascii="Noto Sans Arabic" w:hAnsi="Noto Sans Arabic" w:cs="Noto Sans Arabic" w:eastAsia="Noto Sans Arabic"/>
          <w:b/>
          <w:i w:val="0"/>
          <w:color w:val="245B78"/>
          <w:sz w:val="30"/>
          <w:rtl w:val="1"/>
        </w:rPr>
        <w:t>9.1 خط الأساس</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شغّل الاختبارات كاملة أو أوسع مجموعة ممكنة قبل التعديل وسجل النتيجة.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سجل Node IDs أو manifest للاختبارات إن كان المشروع يستخدم ذلك.</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بعد التنفيذ أعد المجموعة نفسها وقارن الحذف والإضافة والفشل.</w:t>
      </w:r>
    </w:p>
    <w:p>
      <w:pPr>
        <w:bidi w:val="1"/>
        <w:jc w:val="right"/>
      </w:pPr>
      <w:r>
        <w:rPr>
          <w:b w:val="0"/>
          <w:rtl w:val="1"/>
        </w:rPr>
        <w:t>□ إثبات غياب strenum_compat.py وأي بديل أو import له.</w:t>
      </w:r>
    </w:p>
    <w:p>
      <w:pPr>
        <w:bidi w:val="1"/>
        <w:jc w:val="right"/>
      </w:pPr>
      <w:r>
        <w:rPr>
          <w:b w:val="0"/>
          <w:rtl w:val="1"/>
        </w:rPr>
        <w:t>□ إثبات تطابق conftest وحزام pytest مع baseline وعدم وجود حقن توافق.</w:t>
      </w:r>
    </w:p>
    <w:p>
      <w:pPr>
        <w:bidi w:val="1"/>
        <w:jc w:val="right"/>
      </w:pPr>
      <w:r>
        <w:rPr>
          <w:b w:val="0"/>
          <w:rtl w:val="1"/>
        </w:rPr>
        <w:t>□ إثبات خلو vendor من تغييرات الحادثة.</w:t>
      </w:r>
    </w:p>
    <w:p>
      <w:pPr>
        <w:bidi w:val="1"/>
        <w:jc w:val="right"/>
      </w:pPr>
      <w:r>
        <w:rPr>
          <w:b w:val="0"/>
          <w:rtl w:val="1"/>
        </w:rPr>
        <w:t>□ إثبات runtime من sys.executable وsys.version، لا من اسم البيئة.</w:t>
      </w:r>
    </w:p>
    <w:p>
      <w:pPr>
        <w:bidi w:val="1"/>
        <w:jc w:val="right"/>
      </w:pPr>
      <w:r>
        <w:rPr>
          <w:b w:val="0"/>
          <w:rtl w:val="1"/>
        </w:rPr>
        <w:t>□ اختبار أن Step 6 لا يصنف CLOSED إذا غاب Python 3.11 الأصلي أو فشلت اختبارات التفعيل.</w:t>
      </w:r>
    </w:p>
    <w:p>
      <w:pPr>
        <w:pStyle w:val="Heading2"/>
        <w:jc w:val="right"/>
        <w:bidi w:val="1"/>
      </w:pPr>
      <w:r>
        <w:rPr>
          <w:rFonts w:ascii="Noto Sans Arabic" w:hAnsi="Noto Sans Arabic" w:cs="Noto Sans Arabic" w:eastAsia="Noto Sans Arabic"/>
          <w:b/>
          <w:i w:val="0"/>
          <w:color w:val="245B78"/>
          <w:sz w:val="30"/>
          <w:rtl w:val="1"/>
        </w:rPr>
        <w:t>9.2 الاختبارات الجديدة الإلزامية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ClaimProvenance يحفظ السطح الأصلي وسلسلة التحويل.</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ConceptContract لا يعد مكتملًا إذا غاب حد لازم أو مجال بلا تصريح؛ ويصدر البقايا الملائمة.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IfadahCandidate لا يمكن تمريره إلى final meaning أو action بواجهة مرخصة.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P12 يبقى terminal IfadahCandidate.</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Rank(output) لا يتجاوز أضعف required premise.</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تكرار الدليل نفسه لا يرفع الرتبة كتعدد مستقل.</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Active blocker ⇒ operational_status != LICENSED.</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Missing required evidence ⇒ DEFERRED لا BATIL.</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Outside claim kind/domain ⇒ RESIDUAL أو BLOCKED وفق العقد.</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Intrinsic verdict مستقل عن operational status في serialization والمقارنة.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Residuals تنتشر ولا تختفي عند التحويل.</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TransitionTrace يحمل from/to/evidence/gates/ranks/residuals/version.</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Domain crossing بلا DomainBridge يفشل.</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DomainBridge يطبق rank policy والبقايا.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RepairDirective يرجع إلى مالك سبب الفشل لا إلى n-1 آليًا.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HR2S output يدخل كمرشح/دليل ولا ينتج Licensed مباشرة.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الجذر والوزن والمصدر والمشتقات تُستخرج من مسار Hokom المالك.</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التوافق العكسي لمخرجات JSON القديمة.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تتغير اختبارات P4/P5 الحالية إلا بتبرير دستوري مثبت.</w:t>
      </w:r>
    </w:p>
    <w:p>
      <w:pPr>
        <w:pStyle w:val="Heading2"/>
        <w:jc w:val="right"/>
        <w:bidi w:val="1"/>
      </w:pPr>
      <w:r>
        <w:rPr>
          <w:rFonts w:ascii="Noto Sans Arabic" w:hAnsi="Noto Sans Arabic" w:cs="Noto Sans Arabic" w:eastAsia="Noto Sans Arabic"/>
          <w:b/>
          <w:i w:val="0"/>
          <w:color w:val="245B78"/>
          <w:sz w:val="30"/>
          <w:rtl w:val="1"/>
        </w:rPr>
        <w:t>9.3 اختبارات الخصائص والثوابت</w:t>
      </w:r>
    </w:p>
    <w:p>
      <w:pPr>
        <w:spacing w:after="100" w:line="283" w:lineRule="auto"/>
        <w:jc w:val="right"/>
        <w:keepNext w:val="0"/>
        <w:bidi w:val="1"/>
      </w:pPr>
      <w:r>
        <w:rPr>
          <w:rFonts w:ascii="Amiri" w:hAnsi="Amiri" w:cs="Amiri" w:eastAsia="Amiri"/>
          <w:b w:val="0"/>
          <w:i w:val="0"/>
          <w:color w:val="1F2933"/>
          <w:sz w:val="24"/>
          <w:rtl w:val="1"/>
        </w:rPr>
        <w:t>أضف Property/Invariant tests حيث يناسب نمط المشروع، خصوصًا للرتبة، وانتشار البقايا، ومنع القفز، وحفظ الهوية، وعدم ترخيص مانع نشط. لا تكتفِ بأمثلة قليلة.</w:t>
      </w:r>
    </w:p>
    <w:p>
      <w:pPr>
        <w:pStyle w:val="Heading2"/>
        <w:jc w:val="right"/>
        <w:bidi w:val="1"/>
      </w:pPr>
      <w:r>
        <w:rPr>
          <w:rFonts w:ascii="Noto Sans Arabic" w:hAnsi="Noto Sans Arabic" w:cs="Noto Sans Arabic" w:eastAsia="Noto Sans Arabic"/>
          <w:b/>
          <w:i w:val="0"/>
          <w:color w:val="245B78"/>
          <w:sz w:val="30"/>
          <w:rtl w:val="1"/>
        </w:rPr>
        <w:t>9.4 بوابة القبول</w:t>
      </w:r>
    </w:p>
    <w:tbl>
      <w:tblPr>
        <w:tblW w:type="auto" w:w="0"/>
        <w:jc w:val="center"/>
        <w:tblLook w:firstColumn="1" w:firstRow="1" w:lastColumn="0" w:lastRow="0" w:noHBand="0" w:noVBand="1" w:val="04A0"/>
      </w:tblPr>
      <w:tblGrid>
        <w:gridCol w:w="9524"/>
      </w:tblGrid>
      <w:tr>
        <w:tc>
          <w:tcPr>
            <w:tcW w:type="dxa" w:w="9524"/>
            <w:shd w:fill="F6F0E3"/>
            <w:tcMar>
              <w:top w:w="150" w:type="dxa"/>
              <w:start w:w="190" w:type="dxa"/>
              <w:bottom w:w="150" w:type="dxa"/>
              <w:end w:w="190" w:type="dxa"/>
            </w:tcMar>
          </w:tcPr>
          <w:p>
            <w:pPr>
              <w:jc w:val="right"/>
              <w:bidi w:val="1"/>
            </w:pPr>
            <w:r>
              <w:rPr>
                <w:rFonts w:ascii="Noto Sans Arabic" w:hAnsi="Noto Sans Arabic" w:cs="Noto Sans Arabic" w:eastAsia="Noto Sans Arabic"/>
                <w:b/>
                <w:i w:val="0"/>
                <w:color w:val="16324F"/>
                <w:sz w:val="25"/>
                <w:rtl w:val="1"/>
              </w:rPr>
              <w:t>لا تقبل النتيجة إلا إذا</w:t>
            </w:r>
          </w:p>
          <w:p>
            <w:pPr>
              <w:jc w:val="right"/>
              <w:bidi w:val="1"/>
            </w:pPr>
            <w:r>
              <w:rPr>
                <w:rFonts w:ascii="Amiri" w:hAnsi="Amiri" w:cs="Amiri" w:eastAsia="Amiri"/>
                <w:b w:val="0"/>
                <w:i w:val="0"/>
                <w:color w:val="1F2933"/>
                <w:sz w:val="24"/>
                <w:rtl w:val="1"/>
              </w:rPr>
              <w:t>نجح الخط الأساس، ونجحت الاختبارات الجديدة، ولم يُحذف اختبار بلا تبرير، ولم ينشأ سجل أو نوع مكرر، ولم يُفتح نطاق P6–P12 أو P13، وبقيت الملكيات والرتب والمخرجات متسقة.</w:t>
            </w:r>
          </w:p>
        </w:tc>
      </w:tr>
    </w:tbl>
    <w:p>
      <w:pPr>
        <w:spacing w:after="20"/>
      </w:pPr>
    </w:p>
    <w:p>
      <w:pPr>
        <w:pStyle w:val="Heading1"/>
        <w:pageBreakBefore/>
        <w:jc w:val="right"/>
        <w:bidi w:val="1"/>
      </w:pPr>
      <w:r>
        <w:rPr>
          <w:rFonts w:ascii="Noto Sans Arabic" w:hAnsi="Noto Sans Arabic" w:cs="Noto Sans Arabic" w:eastAsia="Noto Sans Arabic"/>
          <w:b/>
          <w:i w:val="0"/>
          <w:color w:val="16324F"/>
          <w:sz w:val="36"/>
          <w:rtl w:val="1"/>
        </w:rPr>
        <w:t>10. ضوابط Git والتغييرات المحظورة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اعمل في فرع مخصص إذا كانت بيئة العمل تسمح، ولا تدمج إلى main تلقائيًا.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تنشئ commit أو tag أو release أو PR إلا إذا كانت تعليمات المستخدم الحالية تأمر بذلك صراحة.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تعدل ملفات غير مرتبطة بالنطاق، ولا تنظف تنسيق المستودع كاملًا.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تحذف كودًا قديمًا قبل إثبات أن جميع مستهلكيه انتقلوا وأن الاختبارات تغطي ذلك.</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تغير كتالوج Operator أو بقية الأعمدة أو الكلمات إلا إذا كان ذلك مطلوبًا صراحة ضمن هذا التكليف؛ وهو غير مطلوب هنا.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تفتح مراحل تنفيذية جديدة، ولا تعلن constitutional amendment implemented بالكامل إذا بقيت أجزاء موثقة فقط.</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تستخدم network أو مصادر خارجية لتغيير الحقائق الكنسية؛ المستودع والدستور هما الأصل.</w:t>
      </w:r>
    </w:p>
    <w:p>
      <w:pPr>
        <w:bidi w:val="1"/>
        <w:jc w:val="right"/>
      </w:pPr>
      <w:r>
        <w:rPr>
          <w:b w:val="0"/>
          <w:rtl w:val="1"/>
        </w:rPr>
        <w:t>✗ لا تترك ملفًا محظورًا على هيئة stub يرفع ImportError وتصفه بأنه محذوف.</w:t>
      </w:r>
    </w:p>
    <w:p>
      <w:pPr>
        <w:bidi w:val="1"/>
        <w:jc w:val="right"/>
      </w:pPr>
      <w:r>
        <w:rPr>
          <w:b w:val="0"/>
          <w:rtl w:val="1"/>
        </w:rPr>
        <w:t>✗ لا تحقن خصائص في enum أو sys.modules، ولا تستعمل conftest كطبقة توافق.</w:t>
      </w:r>
    </w:p>
    <w:p>
      <w:pPr>
        <w:bidi w:val="1"/>
        <w:jc w:val="right"/>
      </w:pPr>
      <w:r>
        <w:rPr>
          <w:b w:val="0"/>
          <w:rtl w:val="1"/>
        </w:rPr>
        <w:t>✗ لا تعدل vendor/Taaqol-GPT أو اختبارات vendor لمعالجة نقص runtime.</w:t>
      </w:r>
    </w:p>
    <w:p>
      <w:pPr>
        <w:bidi w:val="1"/>
        <w:jc w:val="right"/>
      </w:pPr>
      <w:r>
        <w:rPr>
          <w:b w:val="0"/>
          <w:rtl w:val="1"/>
        </w:rPr>
        <w:t>✗ لا تعتمد اسم .venv-py311 دليلًا على Python 3.11.</w:t>
      </w:r>
    </w:p>
    <w:p>
      <w:pPr>
        <w:bidi w:val="1"/>
        <w:jc w:val="right"/>
      </w:pPr>
      <w:r>
        <w:rPr>
          <w:b w:val="0"/>
          <w:rtl w:val="1"/>
        </w:rPr>
        <w:t>✗ لا تستخدم git clean -fdx أو reset/stash شاملًا لإخفاء تغييرات سابقة.</w:t>
      </w:r>
    </w:p>
    <w:p>
      <w:pPr>
        <w:pStyle w:val="Heading1"/>
        <w:pageBreakBefore/>
        <w:jc w:val="right"/>
        <w:bidi w:val="1"/>
      </w:pPr>
      <w:r>
        <w:rPr>
          <w:rFonts w:ascii="Noto Sans Arabic" w:hAnsi="Noto Sans Arabic" w:cs="Noto Sans Arabic" w:eastAsia="Noto Sans Arabic"/>
          <w:b/>
          <w:i w:val="0"/>
          <w:color w:val="16324F"/>
          <w:sz w:val="36"/>
          <w:rtl w:val="1"/>
        </w:rPr>
        <w:t>11. شكل التقرير النهائي الإلزامي</w:t>
      </w:r>
    </w:p>
    <w:p>
      <w:pPr>
        <w:spacing w:after="100" w:line="283" w:lineRule="auto"/>
        <w:jc w:val="right"/>
        <w:keepNext w:val="0"/>
        <w:bidi w:val="1"/>
      </w:pPr>
      <w:r>
        <w:rPr>
          <w:rFonts w:ascii="Amiri" w:hAnsi="Amiri" w:cs="Amiri" w:eastAsia="Amiri"/>
          <w:b w:val="0"/>
          <w:i w:val="0"/>
          <w:color w:val="1F2933"/>
          <w:sz w:val="24"/>
          <w:rtl w:val="1"/>
        </w:rPr>
        <w:t>قدم تقريرًا واحدًا واضحًا لا يخفي المؤجلات، بهذا الترتيب:</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4762"/>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القسم</w:t>
            </w:r>
          </w:p>
        </w:tc>
        <w:tc>
          <w:tcPr>
            <w:tcW w:type="dxa" w:w="4762"/>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المحتوى الإلزامي</w:t>
            </w:r>
          </w:p>
        </w:tc>
      </w:tr>
      <w:tr>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VERDICT</w:t>
            </w:r>
          </w:p>
        </w:tc>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PASS / PASS_WITH_DEFERRED / BLOCKED مع سبب مباشر.</w:t>
            </w:r>
          </w:p>
        </w:tc>
      </w:tr>
      <w:tr>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Repository State</w:t>
            </w:r>
          </w:p>
        </w:tc>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الفرع، HEAD، الملفات المعدلة قبل العمل وبعده، وما إذا كانت الشجرة هادئة.</w:t>
            </w:r>
          </w:p>
        </w:tc>
      </w:tr>
      <w:tr>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Baseline</w:t>
            </w:r>
          </w:p>
        </w:tc>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الاختبارات قبل التعديل وNode-ID baseline.</w:t>
            </w:r>
          </w:p>
        </w:tc>
      </w:tr>
      <w:tr>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Audit Findings</w:t>
            </w:r>
          </w:p>
        </w:tc>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ما كان منفذًا، وما كان جزئيًا، وما كان مجرد توثيق، والتعارضات.</w:t>
            </w:r>
          </w:p>
        </w:tc>
      </w:tr>
      <w:tr>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Ownership Map</w:t>
            </w:r>
          </w:p>
        </w:tc>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Taaqol / Hokom / Verifier / Correspondence / HR2S والملفات المالكة.</w:t>
            </w:r>
          </w:p>
        </w:tc>
      </w:tr>
      <w:tr>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Implemented Changes</w:t>
            </w:r>
          </w:p>
        </w:tc>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ملفًا ملفًا وعقدًا عقدًا، مع سبب كل تغيير.</w:t>
            </w:r>
          </w:p>
        </w:tc>
      </w:tr>
      <w:tr>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No-Duplication Proof</w:t>
            </w:r>
          </w:p>
        </w:tc>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كيف ثبت عدم إنشاء نوع أو سجل أو مسار مكرر.</w:t>
            </w:r>
          </w:p>
        </w:tc>
      </w:tr>
      <w:tr>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Compatibility</w:t>
            </w:r>
          </w:p>
        </w:tc>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الواجهات القديمة، JSON، الاختبارات، والمستهلكون.</w:t>
            </w:r>
          </w:p>
        </w:tc>
      </w:tr>
      <w:tr>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Tests</w:t>
            </w:r>
          </w:p>
        </w:tc>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الأوامر والنتائج والفشل إن وجد.</w:t>
            </w:r>
          </w:p>
        </w:tc>
      </w:tr>
      <w:tr>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Constitutional Invariants</w:t>
            </w:r>
          </w:p>
        </w:tc>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نتيجة كل ثابت إلزامي.</w:t>
            </w:r>
          </w:p>
        </w:tc>
      </w:tr>
      <w:tr>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Deferred Items</w:t>
            </w:r>
          </w:p>
        </w:tc>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كل بند مؤجل، سببه، مالكه، وما القرار المطلوب.</w:t>
            </w:r>
          </w:p>
        </w:tc>
      </w:tr>
      <w:tr>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Diff Summary</w:t>
            </w:r>
          </w:p>
        </w:tc>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قائمة الملفات والإضافات والحذف.</w:t>
            </w:r>
          </w:p>
        </w:tc>
      </w:tr>
      <w:tr>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Final Recommendation</w:t>
            </w:r>
          </w:p>
        </w:tc>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هل الحالة جاهزة للمراجعة والاعتماد، وهل تقترح commit/tag/PR.</w:t>
            </w:r>
          </w:p>
        </w:tc>
      </w:tr>
    </w:tbl>
    <w:p>
      <w:pPr>
        <w:spacing w:after="40"/>
      </w:pPr>
      <w:r>
        <w:t>يأتي قسم Incident Remediation Proof مباشرة بعد VERDICT، ويثبت الحذف أو الاستعادة، وسلامة vendor وحزام الاختبار، وإصدار runtime، والحالة الصحيحة لـStep 6.</w:t>
      </w:r>
    </w:p>
    <w:p>
      <w:pPr>
        <w:pStyle w:val="Heading1"/>
        <w:pageBreakBefore/>
        <w:jc w:val="right"/>
        <w:bidi w:val="1"/>
      </w:pPr>
      <w:r>
        <w:rPr>
          <w:rFonts w:ascii="Noto Sans Arabic" w:hAnsi="Noto Sans Arabic" w:cs="Noto Sans Arabic" w:eastAsia="Noto Sans Arabic"/>
          <w:b/>
          <w:i w:val="0"/>
          <w:color w:val="16324F"/>
          <w:sz w:val="36"/>
          <w:rtl w:val="1"/>
        </w:rPr>
        <w:t>12. نص الأمر التنفيذي الجاهز للنسخ إلى Qiyas / Claude</w:t>
      </w:r>
    </w:p>
    <w:tbl>
      <w:tblPr>
        <w:tblW w:type="auto" w:w="0"/>
        <w:jc w:val="center"/>
        <w:tblLook w:firstColumn="1" w:firstRow="1" w:lastColumn="0" w:lastRow="0" w:noHBand="0" w:noVBand="1" w:val="04A0"/>
      </w:tblPr>
      <w:tblGrid>
        <w:gridCol w:w="9524"/>
      </w:tblGrid>
      <w:tr>
        <w:tc>
          <w:tcPr>
            <w:tcW w:type="dxa" w:w="9524"/>
            <w:shd w:fill="EAF2F6"/>
            <w:tcMar>
              <w:top w:w="150" w:type="dxa"/>
              <w:start w:w="190" w:type="dxa"/>
              <w:bottom w:w="150" w:type="dxa"/>
              <w:end w:w="190" w:type="dxa"/>
            </w:tcMar>
          </w:tcPr>
          <w:p>
            <w:r>
              <w:t>طريقة الاستخدام</w:t>
              <w:br/>
              <w:t>داخل بيئة المستودع، أرفق وثيقة التعديل الدستوري الأول الإصدار 1.1، ثم انسخ نص الأمر التنفيذي أدناه كاملًا إلى Qiyas/Claude. المرحلة 0 شرط سابق على كل تنفيذ، ولا يجوز حذفها أو اختصارها.</w:t>
            </w:r>
          </w:p>
        </w:tc>
      </w:tr>
    </w:tbl>
    <w:p>
      <w:pPr>
        <w:spacing w:after="20"/>
      </w:pP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r>
              <w:t># التكليف التنفيذي الشامل إلى Qiyas / Claude — النسخة 1.1</w:t>
              <w:br/>
              <w:br/>
              <w:t>أنت Qiyas، والمطلوب منك تنفيذ ملكية دستورية وتنفيذية كاملة في مشروع Hokom–Taaqol، لا إجراء تعديل موضعي. نفّذ المهمة من البداية إلى النهاية: **معالجة الحادثة السابقة والتحقق من نظافة البيئة أولًا، ثم التدقيق القرائي، ثم مطابقة الواقع البرمجي، ثم تنفيذ الفجوات فقط، ثم الاختبارات، ثم التقرير النهائي**. لا تسأل عن تفاصيل يمكن حسمها من المستودع والدستور، ولا تتوقف عند الخطة إذا كان التنفيذ ممكنًا.</w:t>
              <w:br/>
              <w:br/>
              <w:t>## الهدف</w:t>
              <w:br/>
              <w:t>إدماج «التعديل الدستوري الأول: منشأ الادعاء، بناء المفهوم، ترخيص الحكم، الأثر، المطابقة، والمراجعة» في المعمار الحالي دون إنشاء سجل طبقات موازٍ، ودون كسر SCG أو P0–P12 أو مخرجات Verifier أو سلم الأدلة أو ملكية Hokom الصرفية.</w:t>
              <w:br/>
              <w:br/>
              <w:t>## الحالة السابقة الملزمة للتحقق — حادثة سلامة تنفيذ</w:t>
              <w:br/>
              <w:t>ورد تقرير سابق يفيد بأن وكيلًا سابقًا أدخل أو عدّل عناصر محظورة، ثم ادعى إصلاحها. لا تعامل ذلك التقرير على أنه برهان نظافة، بل على أنه **إشعار حادثة** يجب التحقق منه مباشرة من الشجرة وHEAD. العناصر المبلغ عنها هي:</w:t>
              <w:br/>
              <w:br/>
              <w:t>1. `strenum_compat.py`: شيم أو backport لـ`StrEnum`، ثم استبداله بملف يرفع `ImportError` بدل حذفه.</w:t>
              <w:br/>
              <w:t>2. `conftest.py`: تعديل أو حقن يؤثر في مجرى pytest.</w:t>
              <w:br/>
              <w:t>3. `vendor/Taaqol-GPT/tests/conftest.py`: ملف منشأ داخل شجرة vendor لحقن التوافق.</w:t>
              <w:br/>
              <w:t>4. `admission_gate.py`: حقن `StrEnum` في الوحدة القياسية `enum` قبل الاستيراد.</w:t>
              <w:br/>
              <w:t>5. بيئات افتراضية مضللة أو مؤقتة، منها اسم `.venv-py311` مع تقرير أنه يشغل Python 3.10.12، وذكر `.venv-py310-tmp` في موضع آخر.</w:t>
              <w:br/>
              <w:t>6. ادعاء أن Step 6 مغلق مع عدم إثبات تشغيله واختباره على Python 3.11 الأصلي.</w:t>
              <w:br/>
              <w:br/>
              <w:t>**الاستنتاج الملزم:** الحالة السابقة `CONTAMINATED_OR_UNVERIFIED`. واستبدال ملف محظور بملف يرفع خطأ ليس حذفًا، وقراءة الكود لا تكفي لإعلان `CLOSED`.</w:t>
              <w:br/>
              <w:br/>
              <w:t>## المرحلة 0 — بوابة المعالجة والنظافة قبل أي تنفيذ جديد</w:t>
              <w:br/>
              <w:t>لا تكتب ميزة جديدة، ولا تعدل الدستور، ولا تبدأ دمج العقود قبل اجتياز هذه البوابة. المسموح قبلها هو التحقق والمعالجة المباشرة للحادثة فقط.</w:t>
              <w:br/>
              <w:br/>
              <w:t>### 0.1 تثبيت حالة المستودع</w:t>
              <w:br/>
              <w:t>سجل دون تغيير:</w:t>
              <w:br/>
              <w:t>- مسار المستودع والفرع و`HEAD`.</w:t>
              <w:br/>
              <w:t>- `git status --short --untracked-files=all`.</w:t>
              <w:br/>
              <w:t>- `git diff --stat` و`git diff` للملفات المبلغ عنها.</w:t>
              <w:br/>
              <w:t>- الملفات المتتبعة وغير المتتبعة، مع استخدام `git ls-files` لإثبات أصل كل ملف.</w:t>
              <w:br/>
              <w:t>- أي تغييرات سابقة لا تخص هذه المهمة؛ لا تمحها ولا تخفها.</w:t>
              <w:br/>
              <w:br/>
              <w:t>### 0.2 إزالة الآثار المحظورة إزالة حقيقية</w:t>
              <w:br/>
              <w:t>- إذا كان `strenum_compat.py` غير متتبع ومنشأ للحادثة: احذفه فعليًا. لا تستبدله بملف يرمي استثناءً.</w:t>
              <w:br/>
              <w:t>- إذا كان `vendor/Taaqol-GPT/tests/conftest.py` غير موجود في `HEAD` ومنشأ للحادثة: احذفه فعليًا. لا تترك stub أو sentinel.</w:t>
              <w:br/>
              <w:t>- إذا كان `conftest.py` متتبعًا: استعد النسخة المطابقة لـ`HEAD` أو للbaseline المعتمد، ولا تحتفظ بأي حقن أو تغيير collection أو import hook غير مأذون.</w:t>
              <w:br/>
              <w:t>- افحص `admission_gate.py` وأزل أي monkey patch أو `setattr` أو حقن في `enum` أو `sys.modules` أو استيراد لـ`strenum_compat`. لا تحذف منطق Step 6 المشروع إلا بقدر ما يثبت أنه جزء من الحقن المحظور.</w:t>
              <w:br/>
              <w:t>- افحص كامل المستودع بحثًا عن: `StrEnum`, `strenum_compat`, `setattr(enum`, `enum.StrEnum`, `sys.modules`, `monkeypatch`, وحقنات pytest المشابهة.</w:t>
              <w:br/>
              <w:t>- أثبت أن `git diff -- vendor/Taaqol-GPT` خالٍ من تغييرات هذه الحادثة. لا تعدل vendor لحل مشكلة runtime.</w:t>
              <w:br/>
              <w:br/>
              <w:t>### 0.3 سلامة بيئة Python</w:t>
              <w:br/>
              <w:t>لا تثق باسم البيئة الافتراضية. أثبت البيئة الفعلية بتسجيل:</w:t>
              <w:br/>
              <w:t>- `command -v python` و`command -v python3.11` إن وجد.</w:t>
              <w:br/>
              <w:t>- `python -c "import sys; print(sys.executable); print(sys.version)"`.</w:t>
              <w:br/>
              <w:t>- `python -c "from enum import StrEnum; print(StrEnum)"` داخل البيئة المرشحة.</w:t>
              <w:br/>
              <w:t>- إصدار pip ومسار تثبيت Taaqol.</w:t>
              <w:br/>
              <w:br/>
              <w:t>القواعد:</w:t>
              <w:br/>
              <w:t>- لا شيم، لا backport، لا monkey patch للوحدة القياسية، ولا حقن عبر `conftest.py`.</w:t>
              <w:br/>
              <w:t>- إذا كانت البيئة المسماة `.venv-py311` لا تعمل فعلًا على Python 3.11، فلا تستخدمها ولا تصفها بأنها 3.11. أزلها أو أعد إنشاءها فقط بعد إثبات أنها بيئة مؤقتة غير متتبعة ولا تحتوي عملًا يدويًا.</w:t>
              <w:br/>
              <w:t>- افحص كلًا من `.venv-py311` و`.venv-py310-tmp`؛ اختلاف الاسم في التقرير السابق تناقض يجب حسمه من filesystem، لا بالتخمين.</w:t>
              <w:br/>
              <w:t>- إذا لم يتوفر Python 3.11 الأصلي، لا تحاول محاكاته. صنف التفعيل `DEFERRED_RUNTIME_PY311` وواصل فقط ما يمكن إثباته دون ادعاء الإغلاق.</w:t>
              <w:br/>
              <w:br/>
              <w:t>### 0.4 إعادة خط الأساس والتحقق من Step 6</w:t>
              <w:br/>
              <w:t>بعد النظافة فقط:</w:t>
              <w:br/>
              <w:t>- شغّل baseline دون تعديل test harness.</w:t>
              <w:br/>
              <w:t>- شغّل اختبارات Step 6 والتكامل على Python 3.11 الأصلي إن توفر.</w:t>
              <w:br/>
              <w:t>- تحقق أن الاستيرادات تأتي من Taaqol الفعلي، لا من shim أو مسار محلي بديل.</w:t>
              <w:br/>
              <w:t>- لا تصنف Step 6 `CLOSED` إلا إذا اجتمعت: نظافة الشجرة، runtime أصلي 3.11، نجاح الاستيراد، نجاح الاختبارات المستهدفة، وعدم تعديل vendor أو test harness.</w:t>
              <w:br/>
              <w:t>- إذا كان الكود مكتوبًا ولم يمكن تفعيله واختباره، فالحالة الصحيحة: `IMPLEMENTED_DEFERRED_ACTIVATION` أو `PARTIAL`، لا `CLOSED`.</w:t>
              <w:br/>
              <w:br/>
              <w:t>### 0.5 مخرج بوابة الصفر</w:t>
              <w:br/>
              <w:t>قدم قبل التنفيذ تقريرًا موجزًا بهذه الحقول:</w:t>
              <w:br/>
              <w:t>- `INCIDENT_VERDICT`</w:t>
              <w:br/>
              <w:t>- `PROHIBITED_FILES_STATUS`</w:t>
              <w:br/>
              <w:t>- `VENDOR_INTEGRITY`</w:t>
              <w:br/>
              <w:t>- `TEST_HARNESS_INTEGRITY`</w:t>
              <w:br/>
              <w:t>- `RUNTIME_PROOF`</w:t>
              <w:br/>
              <w:t>- `STEP6_STATUS`</w:t>
              <w:br/>
              <w:t>- `CLEANUP_DIFF`</w:t>
              <w:br/>
              <w:br/>
              <w:t>لا تنتقل إلى المرحلة A إلا إذا كانت آثار الحادثة مزالة أو معزولة بوضوح، ولم يعد هناك مسار حقن نشط. إذا منعك filesystem أو الصلاحيات من الحذف الحقيقي، لا تدّع الإصلاح؛ اذكر `BLOCKED_CLEANUP` والمسار والأمر اللازم حرفيًا.</w:t>
              <w:br/>
              <w:br/>
              <w:t>## حقائق محصنة</w:t>
              <w:br/>
              <w:t>1. السجل الكنسي الحالي 19 طبقة موزعة على P0–P12؛ لا تعيد ترقيمه ولا تنشئ سجلًا موازيًا.</w:t>
              <w:br/>
              <w:t>2. P12 نهائي من نوع `IfadahCandidate` ولا يفتح P13 ولا ينتج معنى أو حكمًا نهائيًا.</w:t>
              <w:br/>
              <w:t>3. نطاق Hokom الحالي متوقف عند P5 ما لم يثبت المستودع أو تعليمات لاحقة خلاف ذلك؛ لا تفتح P6–P12 بحجة هذا التعديل.</w:t>
              <w:br/>
              <w:t>4. سلسلة الحكم: الوضع → السبب → الشرط → المانع → العلة → القادح → الصحة → الفساد → البطلان → الأثر → البقايا.</w:t>
              <w:br/>
              <w:t>5. Verifier يخرج `Licensed / Blocked / Deferred / Residual`.</w:t>
              <w:br/>
              <w:t>6. افصل `intrinsic_verdict` عن `operational_status` وعن `evidence_rank`.</w:t>
              <w:br/>
              <w:t>7. `Rank(conclusion) ≤ min Rank(required premises)`.</w:t>
              <w:br/>
              <w:t>8. المانع النشط يمنع `Licensed`، والدليل اللازم المفقود ينتج `Deferred` لا `Batil`.</w:t>
              <w:br/>
              <w:t>9. الجذر والوزن والمصدر والمشتقات ملك Hokom؛ HR2S مصدر مرشح أو دليل فقط.</w:t>
              <w:br/>
              <w:t>10. لا فعل أو معنى نهائي من `Concept` أو `IfadahCandidate` أو `CandidateRule` مباشرة.</w:t>
              <w:br/>
              <w:t>11. لا زرع لأمثلة مخصوصة، ولا تعديل صامت، ولا ادعاء تنفيذ بمجرد وجود اسم أو وثيقة.</w:t>
              <w:br/>
              <w:t>12. test harness وvendor وruntime جزء من دليل التنفيذ، ولا يجوز تعديلها لتصنيع نجاح الاختبارات.</w:t>
              <w:br/>
              <w:t>13. لا إعلان `CLOSED` دون تشغيل مثبت على البيئة الكنسية المطلوبة.</w:t>
              <w:br/>
              <w:br/>
              <w:t>## ترتيب مصادر الحقيقة عند التعارض</w:t>
              <w:br/>
              <w:t>الدستور والمواد المحصنة → سجل SCG → العقود والمخططات الكنسية → الاختبارات المعتمدة غير الملوثة → التنفيذ الجاري → الوثائق التفسيرية.</w:t>
              <w:br/>
              <w:br/>
              <w:t>## المرحلة A — تدقيق قرائي إلزامي قبل أي كتابة وظيفية</w:t>
              <w:br/>
              <w:t>- ثبت حالة المستودع والفرع وHEAD والملفات المعدلة بعد اجتياز بوابة الصفر.</w:t>
              <w:br/>
              <w:t>- اكتشف المسارات الفعلية ولا تفترضها.</w:t>
              <w:br/>
              <w:t>- اقرأ الدستور وسجل SCG والعقود والschemas والenums ومسارات Verifier وP12 والtrace/residuals.</w:t>
              <w:br/>
              <w:t>- ابحث عن العقود أو المعاني القائمة: `ClaimProvenance`, `ConceptContract`, `IfadahCandidate`, `RealityDomain`, `DomainBridge`, `Assessment`, `TransitionTrace`, `RepairDirective`, `CorrespondenceAssessment`, `AuthorityCheck`، وسلسلة الوضع/السبب/الشرط/المانع/العلة/القادح/الصحة/الفساد/البطلان.</w:t>
              <w:br/>
              <w:t>- ارسم تدفق البيانات الفعلي وحدد المالك لكل وظيفة.</w:t>
              <w:br/>
              <w:t>- تحقق من ملكية الجذر والوزن والمصدر والمشتقات ومن حدود HR2S.</w:t>
              <w:br/>
              <w:t>- شغّل الاختبارات قبل التعديل وسجل baseline وNode IDs إن أمكن.</w:t>
              <w:br/>
              <w:t>- صنف كل مطلب: `IMPLEMENTED / PARTIAL / MISSING / CONFLICT / DOCUMENTED_ONLY / OUT_OF_CURRENT_SCOPE`.</w:t>
              <w:br/>
              <w:br/>
              <w:t>## المرحلة B — نفذ الفجوات دون ازدواج</w:t>
              <w:br/>
              <w:t>1. أضف التعديل الدستوري الأول واربطه بالدستور وفهرس الوثائق الحاكمة.</w:t>
              <w:br/>
              <w:t>2. أعد استعمال الموجود الصحيح، ووسع الأنواع بدل إنشاء نسخ مكررة.</w:t>
              <w:br/>
              <w:t>3. نفذ أو وحّد الحد الأدنى الدلالي للعقود التالية:</w:t>
              <w:br/>
              <w:t xml:space="preserve">   - `ClaimProvenance`</w:t>
              <w:br/>
              <w:t xml:space="preserve">   - `ConceptContract`</w:t>
              <w:br/>
              <w:t xml:space="preserve">   - `IfadahCandidate`</w:t>
              <w:br/>
              <w:t xml:space="preserve">   - `RealityDomain`</w:t>
              <w:br/>
              <w:t xml:space="preserve">   - `DomainBridge`</w:t>
              <w:br/>
              <w:t xml:space="preserve">   - `Assessment` بفصل `intrinsic_verdict / operational_status / evidence_rank`</w:t>
              <w:br/>
              <w:t xml:space="preserve">   - `TransitionTrace`</w:t>
              <w:br/>
              <w:t xml:space="preserve">   - `RepairDirective`</w:t>
              <w:br/>
              <w:t xml:space="preserve">   - `ApplicationAssessment`</w:t>
              <w:br/>
              <w:t xml:space="preserve">   - `AuthorityCheck`</w:t>
              <w:br/>
              <w:t xml:space="preserve">   - `CorrespondenceAssessment`</w:t>
              <w:br/>
              <w:t>4. إذا كان application/action/correspondence خارج نطاق P5، أضف العقود والحدود والاختبارات السلبية فقط، ولا تفعّل مسارًا يفتح طبقات لاحقة.</w:t>
              <w:br/>
              <w:t>5. أضف invariants/validators لحفظ الهوية والمجال والدليل والرتبة والبقايا والأثر ومنع القفز.</w:t>
              <w:br/>
              <w:t>6. لا تستخدم قيمًا مزروعة عند نقص البيانات؛ استخدم `Unknown/Deferred/NotApplicable` وفق نمط المشروع.</w:t>
              <w:br/>
              <w:t>7. حافظ على التوافق العكسي للواجهات وJSON، واستخدم versioning أو adapters عند الحاجة.</w:t>
              <w:br/>
              <w:t>8. لا تنقل المنطق الصرفي إلى HR2S ولا تسمح له بإصدار `Licensed`.</w:t>
              <w:br/>
              <w:t>9. لا تنشئ P13 أو سجلًا من 11 مرحلة باسم SLGE.</w:t>
              <w:br/>
              <w:br/>
              <w:t>## المرحلة C — الاختبارات الإلزامية</w:t>
              <w:br/>
              <w:t>- اختبار عدم وجود أي shim أو monkey patch لـ`StrEnum`.</w:t>
              <w:br/>
              <w:t>- اختبار أن test harness مطابق للbaseline وغير مستخدم لحقن التوافق.</w:t>
              <w:br/>
              <w:t>- اختبار عدم وجود تغييرات في vendor مرتبطة بهذه المهمة.</w:t>
              <w:br/>
              <w:t>- اختبار runtime proof وعدم الاعتماد على اسم venv.</w:t>
              <w:br/>
              <w:t>- اختبار أن Step 6 لا يغلق دون Python 3.11 الأصلي ونجاح مجموعته المستهدفة.</w:t>
              <w:br/>
              <w:t>- حفظ `ClaimProvenance` وسلسلة التحويل.</w:t>
              <w:br/>
              <w:t>- اكتمال `ConceptContract` وإظهار البقايا عند النقص.</w:t>
              <w:br/>
              <w:t>- منع انتقال `IfadahCandidate` إلى final meaning/action.</w:t>
              <w:br/>
              <w:t>- بقاء P12 terminal `IfadahCandidate`.</w:t>
              <w:br/>
              <w:t>- حفظ قانون الرتبة وعدم رفعها بتكرار الدليل نفسه.</w:t>
              <w:br/>
              <w:t>- active blocker يمنع `Licensed`.</w:t>
              <w:br/>
              <w:t>- missing required evidence ينتج `Deferred` لا `Batil`.</w:t>
              <w:br/>
              <w:t>- الفصل بين intrinsic verdict وoperational status في البيانات والserialization.</w:t>
              <w:br/>
              <w:t>- انتشار residuals وعدم إسقاطها.</w:t>
              <w:br/>
              <w:t>- اكتمال `TransitionTrace`.</w:t>
              <w:br/>
              <w:t>- منع العبور بين المجالات بلا `DomainBridge`.</w:t>
              <w:br/>
              <w:t>- `RepairDirective` يرجع إلى مالك سبب الفشل.</w:t>
              <w:br/>
              <w:t>- HR2S output مرشح/دليل فقط.</w:t>
              <w:br/>
              <w:t>- ملكية Hokom للجذر والوزن والمصدر والمشتقات.</w:t>
              <w:br/>
              <w:t>- التوافق العكسي وعدم تراجع اختبارات P4/P5.</w:t>
              <w:br/>
              <w:t>- أضف property/invariant tests حيث يناسب.</w:t>
              <w:br/>
              <w:br/>
              <w:t>## بوابة القبول</w:t>
              <w:br/>
              <w:t>لا تعتبر المهمة مكتملة إذا:</w:t>
              <w:br/>
              <w:t>- بقي ملف محظور موجودًا ولو كان يرفع `ImportError`.</w:t>
              <w:br/>
              <w:t>- بقي تعديل في vendor أو test harness لتسهيل الاستيراد أو النجاح.</w:t>
              <w:br/>
              <w:t>- كانت البيئة المسماة 3.11 تعمل على إصدار آخر.</w:t>
              <w:br/>
              <w:t>- أعلن Step 6 أو التعديل `CLOSED` دون تشغيل مثبت.</w:t>
              <w:br/>
              <w:t>- فشل baseline بلا تبرير، أو حُذف اختبار بلا سبب.</w:t>
              <w:br/>
              <w:t>- نشأ نوع أو سجل أو مسار مكرر.</w:t>
              <w:br/>
              <w:t>- فُتح P6–P12 أو P13.</w:t>
              <w:br/>
              <w:t>- اختلطت الرتبة بالحالة، أو اختفت البقايا، أو تغيرت ملكية الصرف.</w:t>
              <w:br/>
              <w:br/>
              <w:t>## ضوابط Git والتغييرات المحظورة</w:t>
              <w:br/>
              <w:t>- لا تنشئ commit أو tag أو release أو PR ولا تدمج إلى main إلا إذا كانت تعليمات المستخدم الحالية تأمر بذلك صراحة.</w:t>
              <w:br/>
              <w:t>- لا تستخدم `git clean -fdx` أو أي تنظيف شامل قد يحذف عملًا غير متعلق.</w:t>
              <w:br/>
              <w:t>- لا تستخدم stash أو reset شامل لإخفاء تغييرات سابقة.</w:t>
              <w:br/>
              <w:t>- احذف فقط الآثار المحظورة التي ثبت أنها منشأة للحادثة، واستعد الملفات المتتبعة من أصلها المحدد.</w:t>
              <w:br/>
              <w:t>- اترك التغييرات قابلة للمراجعة وقدم diff واضحًا.</w:t>
              <w:br/>
              <w:br/>
              <w:t>## التقرير النهائي الإلزامي</w:t>
              <w:br/>
              <w:t>قدم الأقسام التالية بهذا الترتيب:</w:t>
              <w:br/>
              <w:t>1. `VERDICT`</w:t>
              <w:br/>
              <w:t>2. `Incident Remediation Proof`</w:t>
              <w:br/>
              <w:t>3. `Repository State`</w:t>
              <w:br/>
              <w:t>4. `Runtime and Environment Proof`</w:t>
              <w:br/>
              <w:t>5. `Baseline`</w:t>
              <w:br/>
              <w:t>6. `Audit Findings`</w:t>
              <w:br/>
              <w:t>7. `Ownership Map`</w:t>
              <w:br/>
              <w:t>8. `Implemented Changes`</w:t>
              <w:br/>
              <w:t>9. `No-Duplication Proof`</w:t>
              <w:br/>
              <w:t>10. `Vendor and Test-Harness Integrity`</w:t>
              <w:br/>
              <w:t>11. `Compatibility`</w:t>
              <w:br/>
              <w:t>12. `Tests`</w:t>
              <w:br/>
              <w:t>13. `Constitutional Invariants`</w:t>
              <w:br/>
              <w:t>14. `Step 6 Status` مع تمييز التنفيذ عن التفعيل</w:t>
              <w:br/>
              <w:t>15. `Deferred Items`</w:t>
              <w:br/>
              <w:t>16. `Diff Summary`</w:t>
              <w:br/>
              <w:t>17. `Final Recommendation`</w:t>
              <w:br/>
              <w:br/>
              <w:t>ابدأ الآن ببوابة المعالجة الصفرية. لا تبنِ أي تنفيذ جديد فوق شجرة ملوثة، ولا تكرر ادعاء «تم الإصلاح» من دون إثبات الحذف والنظافة والruntime والاختبارات.</w:t>
              <w:br/>
            </w:r>
          </w:p>
        </w:tc>
      </w:tr>
    </w:tbl>
    <w:p>
      <w:pPr>
        <w:spacing w:after="20"/>
      </w:pPr>
    </w:p>
    <w:tbl>
      <w:tblPr>
        <w:tblW w:type="auto" w:w="0"/>
        <w:jc w:val="center"/>
        <w:tblLook w:firstColumn="1" w:firstRow="1" w:lastColumn="0" w:lastRow="0" w:noHBand="0" w:noVBand="1" w:val="04A0"/>
      </w:tblPr>
      <w:tblGrid>
        <w:gridCol w:w="9524"/>
      </w:tblGrid>
      <w:tr>
        <w:tc>
          <w:tcPr>
            <w:tcW w:type="dxa" w:w="9524"/>
            <w:shd w:fill="EAF4EF"/>
            <w:tcMar>
              <w:top w:w="150" w:type="dxa"/>
              <w:start w:w="190" w:type="dxa"/>
              <w:bottom w:w="150" w:type="dxa"/>
              <w:end w:w="190" w:type="dxa"/>
            </w:tcMar>
          </w:tcPr>
          <w:p>
            <w:pPr>
              <w:jc w:val="right"/>
              <w:bidi w:val="1"/>
            </w:pPr>
            <w:r>
              <w:rPr>
                <w:rFonts w:ascii="Noto Sans Arabic" w:hAnsi="Noto Sans Arabic" w:cs="Noto Sans Arabic" w:eastAsia="Noto Sans Arabic"/>
                <w:b/>
                <w:i w:val="0"/>
                <w:color w:val="2E6B4F"/>
                <w:sz w:val="25"/>
                <w:rtl w:val="1"/>
              </w:rPr>
              <w:t>معيار نجاح هذا التكليف</w:t>
            </w:r>
          </w:p>
          <w:p>
            <w:pPr>
              <w:jc w:val="right"/>
              <w:bidi w:val="1"/>
            </w:pPr>
            <w:r>
              <w:rPr>
                <w:rFonts w:ascii="Amiri" w:hAnsi="Amiri" w:cs="Amiri" w:eastAsia="Amiri"/>
                <w:b w:val="0"/>
                <w:i w:val="0"/>
                <w:color w:val="1F2933"/>
                <w:sz w:val="24"/>
                <w:rtl w:val="1"/>
              </w:rPr>
              <w:t>النجاح ليس كثرة الملفات المعدلة، بل أن تصبح الحدود أوضح، والعقود موحدة، والبقايا مرئية، والرتب محفوظة، والتدفقات القديمة مستقرة، ولا تنشأ ملكية مزدوجة.</w:t>
            </w:r>
          </w:p>
        </w:tc>
      </w:tr>
    </w:tbl>
    <w:p>
      <w:pPr>
        <w:spacing w:after="20"/>
      </w:pPr>
    </w:p>
    <w:sectPr w:rsidR="00FC693F" w:rsidRPr="0006063C" w:rsidSect="00034616">
      <w:headerReference w:type="default" r:id="rId9"/>
      <w:footerReference w:type="default" r:id="rId10"/>
      <w:pgSz w:w="11906" w:h="16838"/>
      <w:pgMar w:top="1134" w:right="1191" w:bottom="1020"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Noto Sans Arabic" w:hAnsi="Noto Sans Arabic" w:cs="Noto Sans Arabic" w:eastAsia="Noto Sans Arabic"/>
        <w:b w:val="0"/>
        <w:i w:val="0"/>
        <w:color w:val="52616B"/>
        <w:sz w:val="18"/>
        <w:rtl w:val="1"/>
      </w:rPr>
      <w:t xml:space="preserve">Hokom–Taaqol  |  الإصدار 1.1  |  صفحة </w:t>
    </w:r>
    <w:r>
      <w:rPr>
        <w:rFonts w:ascii="Noto Sans Arabic" w:hAnsi="Noto Sans Arabic" w:cs="Noto Sans Arabic" w:eastAsia="Noto Sans Arabic"/>
        <w:b w:val="0"/>
        <w:i w:val="0"/>
        <w:color w:val="52616B"/>
        <w:sz w:val="18"/>
        <w:rtl w:val="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Bdr>
        <w:bottom w:val="single" w:sz="6" w:space="3" w:color="D9E0E4"/>
      </w:pBdr>
    </w:pPr>
    <w:r>
      <w:rPr>
        <w:rFonts w:ascii="Noto Sans Arabic" w:hAnsi="Noto Sans Arabic" w:cs="Noto Sans Arabic" w:eastAsia="Noto Sans Arabic"/>
        <w:b/>
        <w:i w:val="0"/>
        <w:color w:val="52616B"/>
        <w:sz w:val="18"/>
        <w:rtl w:val="1"/>
      </w:rPr>
      <w:t>التكليف التنفيذي الشامل إلى Qiyas/Claude — تنفيذ التعديل الدستوري الأول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miri" w:hAnsi="Amiri" w:cs="Ami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Arabic" w:hAnsi="Noto Sans Arabic" w:cs="Noto Sans Arabic"/>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Arabic" w:hAnsi="Noto Sans Arabic" w:cs="Noto Sans Arabic"/>
      <w:b/>
      <w:bCs/>
      <w:color w:val="245B78"/>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Arabic" w:hAnsi="Noto Sans Arabic" w:cs="Noto Sans Arabic"/>
      <w:b/>
      <w:bCs/>
      <w:color w:val="2F6F7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Noto Sans Arabic" w:hAnsi="Noto Sans Arabic" w:cs="Noto Sans Arabic"/>
      <w:b/>
      <w:color w:val="1632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Noto Sans Arabic" w:hAnsi="Noto Sans Arabic" w:cs="Noto Sans Arabic"/>
      <w:b/>
      <w:i/>
      <w:iCs/>
      <w:color w:val="245B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00" w:line="252" w:lineRule="auto"/>
      <w:ind w:left="227" w:right="227"/>
    </w:pPr>
    <w:rPr>
      <w:rFonts w:ascii="DejaVu Sans Mono" w:hAnsi="DejaVu Sans Mono" w:cs="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