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83" w:lineRule="auto"/>
        <w:jc w:val="center"/>
      </w:pPr>
      <w:r>
        <w:rPr>
          <w:rFonts w:ascii="Times New Roman" w:hAnsi="Times New Roman" w:eastAsia="Times New Roman" w:cs="Times New Roman"/>
          <w:b/>
          <w:color w:val="1F5132"/>
          <w:sz w:val="32"/>
        </w:rPr>
        <w:t>Ірі қара мал эмбриондарын халықаралық саудалаудың нормативтік негізі</w:t>
      </w:r>
    </w:p>
    <w:p>
      <w:pPr>
        <w:spacing w:after="160" w:before="0" w:line="283" w:lineRule="auto"/>
        <w:jc w:val="center"/>
        <w:pBdr>
          <w:bottom w:val="single" w:sz="6" w:space="4" w:color="1F5132"/>
        </w:pBdr>
      </w:pPr>
      <w:r>
        <w:rPr>
          <w:rFonts w:ascii="Times New Roman" w:hAnsi="Times New Roman" w:eastAsia="Times New Roman" w:cs="Times New Roman"/>
          <w:b w:val="0"/>
          <w:color w:val="5A5A5A"/>
          <w:sz w:val="21"/>
        </w:rPr>
        <w:t>Regulatory Basis for International Trade in Bovine Embryos</w:t>
      </w:r>
    </w:p>
    <w:p>
      <w:pPr>
        <w:spacing w:after="200" w:before="0" w:line="283" w:lineRule="auto"/>
        <w:jc w:val="left"/>
      </w:pPr>
      <w:r>
        <w:rPr>
          <w:rFonts w:ascii="Times New Roman" w:hAnsi="Times New Roman" w:eastAsia="Times New Roman" w:cs="Times New Roman"/>
          <w:b w:val="0"/>
          <w:color w:val="222222"/>
          <w:sz w:val="20"/>
        </w:rPr>
        <w:t>Бұл құжат Корея Республикасынан шығарылатын ірі қара мал (мысалы, голштин сүтті бағыттағы) эмбриондарын экспорттау кезінде импорттаушы елдің мемлекеттік органдарына (ауыл шаруашылығы министрлігі / ветеринариялық қызмет) ұсынуға арналған халықаралық ветеринариялық-санитариялық нормативтік негізді баяндайды. Ол нақты бір елге шектелмейді және барлық импорттаушы елдерге бірдей қолданылады.</w:t>
      </w:r>
    </w:p>
    <w:p>
      <w:pPr>
        <w:spacing w:after="60" w:before="0" w:line="283" w:lineRule="auto"/>
        <w:jc w:val="left"/>
      </w:pPr>
      <w:r>
        <w:rPr>
          <w:rFonts w:ascii="Times New Roman" w:hAnsi="Times New Roman" w:eastAsia="Times New Roman" w:cs="Times New Roman"/>
          <w:b/>
          <w:color w:val="1F5132"/>
          <w:sz w:val="25"/>
        </w:rPr>
        <w:t>A. Негізгі халықаралық келісім (құқықтық негіз)</w:t>
      </w:r>
    </w:p>
    <w:p>
      <w:pPr>
        <w:spacing w:after="40" w:before="0" w:line="283" w:lineRule="auto"/>
        <w:jc w:val="left"/>
      </w:pPr>
      <w:r>
        <w:rPr>
          <w:rFonts w:ascii="Times New Roman" w:hAnsi="Times New Roman" w:eastAsia="Times New Roman" w:cs="Times New Roman"/>
          <w:b w:val="0"/>
          <w:color w:val="222222"/>
          <w:sz w:val="20"/>
        </w:rPr>
        <w:t xml:space="preserve">Дүниежүзілік сауда ұйымының (WTO) «Санитариялық және фитосанитариялық шараларды қолдану жөніндегі келісімі» (SPS келісімі), 3-бабы және А қосымшасы (3-тармақ) — жануарлар денсаулығы саласындағы халықаралық стандарттарды белгілейтін орган ретінде </w:t>
      </w:r>
      <w:r>
        <w:rPr>
          <w:rFonts w:ascii="Times New Roman" w:hAnsi="Times New Roman" w:eastAsia="Times New Roman" w:cs="Times New Roman"/>
          <w:b/>
          <w:color w:val="222222"/>
          <w:sz w:val="20"/>
        </w:rPr>
        <w:t>WOAH (бұрынғы OIE)</w:t>
      </w:r>
      <w:r>
        <w:rPr>
          <w:rFonts w:ascii="Times New Roman" w:hAnsi="Times New Roman" w:eastAsia="Times New Roman" w:cs="Times New Roman"/>
          <w:b w:val="0"/>
          <w:color w:val="222222"/>
          <w:sz w:val="20"/>
        </w:rPr>
        <w:t xml:space="preserve"> ұйымын ресми түрде таниды.</w:t>
      </w:r>
    </w:p>
    <w:p>
      <w:pPr>
        <w:spacing w:after="80" w:before="0" w:line="283" w:lineRule="auto"/>
        <w:jc w:val="left"/>
      </w:pPr>
      <w:r>
        <w:rPr>
          <w:rFonts w:ascii="Times New Roman" w:hAnsi="Times New Roman" w:eastAsia="Times New Roman" w:cs="Times New Roman"/>
          <w:b/>
          <w:color w:val="1F5132"/>
          <w:sz w:val="25"/>
        </w:rPr>
        <w:t>B. Қолданылатын техникалық стандарт — WOAH «Terrestrial Animal Health Code»</w:t>
      </w:r>
    </w:p>
    <w:p>
      <w:pPr>
        <w:spacing w:after="80" w:before="0" w:line="283" w:lineRule="auto"/>
        <w:jc w:val="left"/>
      </w:pPr>
      <w:r>
        <w:rPr>
          <w:rFonts w:ascii="Times New Roman" w:hAnsi="Times New Roman" w:eastAsia="Times New Roman" w:cs="Times New Roman"/>
          <w:b w:val="0"/>
          <w:color w:val="222222"/>
          <w:sz w:val="20"/>
        </w:rPr>
        <w:t>WOAH «Жер үсті жануарларының денсаулығы кодексі». Эмбриондарға тікелей қатысты баптар: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304"/>
            <w:shd w:val="clear" w:fill="1F5132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Бап</w:t>
            </w:r>
          </w:p>
        </w:tc>
        <w:tc>
          <w:tcPr>
            <w:tcW w:type="dxa" w:w="8164"/>
            <w:shd w:val="clear" w:fill="1F5132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Атауы / Title</w:t>
            </w:r>
          </w:p>
        </w:tc>
      </w:tr>
      <w:tr>
        <w:tc>
          <w:tcPr>
            <w:tcW w:type="dxa" w:w="130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5132"/>
                <w:sz w:val="19"/>
              </w:rPr>
              <w:t>4.8</w:t>
            </w:r>
          </w:p>
        </w:tc>
        <w:tc>
          <w:tcPr>
            <w:tcW w:type="dxa" w:w="816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222222"/>
                <w:sz w:val="18"/>
              </w:rPr>
              <w:t>In vivo алынған эмбриондарды жинау және өңдеу (мал, жылқы)  ·  In vivo derived embryos</w:t>
            </w:r>
          </w:p>
        </w:tc>
      </w:tr>
      <w:tr>
        <w:tc>
          <w:tcPr>
            <w:tcW w:type="dxa" w:w="1304"/>
            <w:shd w:val="clear" w:fill="EEF3EF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5132"/>
                <w:sz w:val="19"/>
              </w:rPr>
              <w:t>4.9</w:t>
            </w:r>
          </w:p>
        </w:tc>
        <w:tc>
          <w:tcPr>
            <w:tcW w:type="dxa" w:w="8164"/>
            <w:shd w:val="clear" w:fill="EEF3EF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222222"/>
                <w:sz w:val="18"/>
              </w:rPr>
              <w:t>In vitro өндірілген эмбриондарды жинау және өңдеу (мал)  ·  In vitro produced embryos</w:t>
            </w:r>
          </w:p>
        </w:tc>
      </w:tr>
      <w:tr>
        <w:tc>
          <w:tcPr>
            <w:tcW w:type="dxa" w:w="130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5132"/>
                <w:sz w:val="19"/>
              </w:rPr>
              <w:t>4.10</w:t>
            </w:r>
          </w:p>
        </w:tc>
        <w:tc>
          <w:tcPr>
            <w:tcW w:type="dxa" w:w="8164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222222"/>
                <w:sz w:val="18"/>
              </w:rPr>
              <w:t>Эмбриондарды микроманипуляциялау (жынысын анықтау)  ·  Micromanipulation of embryos</w:t>
            </w:r>
          </w:p>
        </w:tc>
      </w:tr>
    </w:tbl>
    <w:p>
      <w:pPr>
        <w:spacing w:after="40" w:before="120" w:line="283" w:lineRule="auto"/>
        <w:jc w:val="left"/>
      </w:pPr>
      <w:r>
        <w:rPr>
          <w:rFonts w:ascii="Times New Roman" w:hAnsi="Times New Roman" w:eastAsia="Times New Roman" w:cs="Times New Roman"/>
          <w:b w:val="0"/>
          <w:color w:val="222222"/>
          <w:sz w:val="20"/>
        </w:rPr>
        <w:t>▪ Әр аурудың тарауындағы «ірі қара мал эмбриондарын импорттау жөніндегі ұсынымдар» баптары қоса қолданылады — мысалы: аусыл (FMD) 8.8-тарау, нодулярлық дерматит (LSD) 11.9-тарау, ірі қараның губкатәрізді энцефалопатиясы (BSE) 11.4-тарау, т.б.</w:t>
      </w:r>
    </w:p>
    <w:p>
      <w:pPr>
        <w:spacing w:after="200" w:before="0" w:line="283" w:lineRule="auto"/>
        <w:jc w:val="left"/>
      </w:pPr>
      <w:r>
        <w:rPr>
          <w:rFonts w:ascii="Times New Roman" w:hAnsi="Times New Roman" w:eastAsia="Times New Roman" w:cs="Times New Roman"/>
          <w:b w:val="0"/>
          <w:color w:val="222222"/>
          <w:sz w:val="20"/>
        </w:rPr>
        <w:t xml:space="preserve">▪ IETS (Халықаралық эмбриондық технологиялар қоғамы) нұсқаулығы: </w:t>
      </w:r>
      <w:r>
        <w:rPr>
          <w:rFonts w:ascii="Times New Roman" w:hAnsi="Times New Roman" w:eastAsia="Times New Roman" w:cs="Times New Roman"/>
          <w:b/>
          <w:color w:val="222222"/>
          <w:sz w:val="20"/>
        </w:rPr>
        <w:t>ірі қара малдың in vivo эмбриондары — 1-санат (елеусіз тәуекел)</w:t>
      </w:r>
      <w:r>
        <w:rPr>
          <w:rFonts w:ascii="Times New Roman" w:hAnsi="Times New Roman" w:eastAsia="Times New Roman" w:cs="Times New Roman"/>
          <w:b w:val="0"/>
          <w:color w:val="222222"/>
          <w:sz w:val="20"/>
        </w:rPr>
        <w:t>. Эмбрион трансплантациясы ауру таратудың тәуекелі өте төмен әдіс ретінде халықаралық деңгейде танылған.</w:t>
      </w:r>
    </w:p>
    <w:p>
      <w:pPr>
        <w:spacing w:after="60" w:before="0" w:line="283" w:lineRule="auto"/>
        <w:jc w:val="left"/>
      </w:pPr>
      <w:r>
        <w:rPr>
          <w:rFonts w:ascii="Times New Roman" w:hAnsi="Times New Roman" w:eastAsia="Times New Roman" w:cs="Times New Roman"/>
          <w:b/>
          <w:color w:val="1F5132"/>
          <w:sz w:val="25"/>
        </w:rPr>
        <w:t>C. Ескертпелер</w:t>
      </w:r>
    </w:p>
    <w:p>
      <w:pPr>
        <w:spacing w:after="60" w:before="0" w:line="283" w:lineRule="auto"/>
        <w:jc w:val="left"/>
      </w:pPr>
      <w:r>
        <w:rPr>
          <w:rFonts w:ascii="Times New Roman" w:hAnsi="Times New Roman" w:eastAsia="Times New Roman" w:cs="Times New Roman"/>
          <w:b/>
          <w:color w:val="1F5132"/>
          <w:sz w:val="20"/>
        </w:rPr>
        <w:t xml:space="preserve">▪ </w:t>
      </w:r>
      <w:r>
        <w:rPr>
          <w:rFonts w:ascii="Times New Roman" w:hAnsi="Times New Roman" w:eastAsia="Times New Roman" w:cs="Times New Roman"/>
          <w:b w:val="0"/>
          <w:color w:val="222222"/>
          <w:sz w:val="20"/>
        </w:rPr>
        <w:t>WOAH — бұрынғы OIE ұйымы. Кодекстің бұрынғы «Appendix (қосымша)» нөмірлері қазіргі «Chapter (тарау)» нөмірлеріне сәйкес келеді (мысалы, бұрынғы Appendix 3.3.4 → қазіргі 4.8-тарау).</w:t>
      </w:r>
    </w:p>
    <w:p>
      <w:pPr>
        <w:spacing w:after="60" w:before="0" w:line="283" w:lineRule="auto"/>
        <w:jc w:val="left"/>
      </w:pPr>
      <w:r>
        <w:rPr>
          <w:rFonts w:ascii="Times New Roman" w:hAnsi="Times New Roman" w:eastAsia="Times New Roman" w:cs="Times New Roman"/>
          <w:b/>
          <w:color w:val="1F5132"/>
          <w:sz w:val="20"/>
        </w:rPr>
        <w:t xml:space="preserve">▪ </w:t>
      </w:r>
      <w:r>
        <w:rPr>
          <w:rFonts w:ascii="Times New Roman" w:hAnsi="Times New Roman" w:eastAsia="Times New Roman" w:cs="Times New Roman"/>
          <w:b w:val="0"/>
          <w:color w:val="222222"/>
          <w:sz w:val="20"/>
        </w:rPr>
        <w:t>CITES (жойылып бара жатқан түрлердің халықаралық саудасы туралы конвенция) қосымшалары жабайы әрі жойылып бара жатқан түрлерге арналған; үй жануары болып табылатын голштин сиыр эмбриондарына қолданылмайды.</w:t>
      </w:r>
    </w:p>
    <w:p>
      <w:pPr>
        <w:spacing w:after="60" w:before="0" w:line="283" w:lineRule="auto"/>
        <w:jc w:val="left"/>
      </w:pPr>
      <w:r>
        <w:rPr>
          <w:rFonts w:ascii="Times New Roman" w:hAnsi="Times New Roman" w:eastAsia="Times New Roman" w:cs="Times New Roman"/>
          <w:b/>
          <w:color w:val="1F5132"/>
          <w:sz w:val="20"/>
        </w:rPr>
        <w:t xml:space="preserve">▪ </w:t>
      </w:r>
      <w:r>
        <w:rPr>
          <w:rFonts w:ascii="Times New Roman" w:hAnsi="Times New Roman" w:eastAsia="Times New Roman" w:cs="Times New Roman"/>
          <w:b w:val="0"/>
          <w:color w:val="222222"/>
          <w:sz w:val="20"/>
        </w:rPr>
        <w:t>Нақты кедендік негіз — кодекстің өзі емес, экспорттаушы елдің ветеринариялық қызметі (Корея — APQA) мен импорттаушы ел арасында келісілген екіжақты «Ветеринариялық сертификат (Veterinary Health Certificate)»; жоғарыдағы WOAH баптары оның техникалық негізі.</w:t>
      </w:r>
    </w:p>
    <w:p>
      <w:pPr>
        <w:spacing w:after="60" w:before="0" w:line="283" w:lineRule="auto"/>
        <w:jc w:val="left"/>
      </w:pPr>
      <w:r>
        <w:rPr>
          <w:rFonts w:ascii="Times New Roman" w:hAnsi="Times New Roman" w:eastAsia="Times New Roman" w:cs="Times New Roman"/>
          <w:b/>
          <w:color w:val="1F5132"/>
          <w:sz w:val="20"/>
        </w:rPr>
        <w:t xml:space="preserve">▪ </w:t>
      </w:r>
      <w:r>
        <w:rPr>
          <w:rFonts w:ascii="Times New Roman" w:hAnsi="Times New Roman" w:eastAsia="Times New Roman" w:cs="Times New Roman"/>
          <w:b w:val="0"/>
          <w:color w:val="222222"/>
          <w:sz w:val="20"/>
        </w:rPr>
        <w:t>Тарау нөмірлері кодекстің басылымына (edition) байланысты өзгеруі мүмкін; дәйексөз келтірмес бұрын woah.org сайтындағы қолданыстағы басылым мен ағылшынша атауын тексеру ұсынылады.</w:t>
      </w:r>
    </w:p>
    <w:p>
      <w:pPr>
        <w:spacing w:after="40" w:before="160" w:line="283" w:lineRule="auto"/>
        <w:jc w:val="left"/>
        <w:shd w:val="clear" w:fill="EEF3EF"/>
      </w:pPr>
      <w:r>
        <w:rPr>
          <w:rFonts w:ascii="Times New Roman" w:hAnsi="Times New Roman" w:eastAsia="Times New Roman" w:cs="Times New Roman"/>
          <w:b/>
          <w:color w:val="1F5132"/>
          <w:sz w:val="22"/>
        </w:rPr>
        <w:t xml:space="preserve">  Қорытынды</w:t>
      </w:r>
    </w:p>
    <w:p>
      <w:pPr>
        <w:spacing w:after="200" w:before="0" w:line="283" w:lineRule="auto"/>
        <w:jc w:val="left"/>
        <w:shd w:val="clear" w:fill="EEF3EF"/>
      </w:pPr>
      <w:r>
        <w:rPr>
          <w:rFonts w:ascii="Times New Roman" w:hAnsi="Times New Roman" w:eastAsia="Times New Roman" w:cs="Times New Roman"/>
          <w:b/>
          <w:color w:val="222222"/>
          <w:sz w:val="21"/>
        </w:rPr>
        <w:t xml:space="preserve">  Эмбриондар WOAH кодексіне (4.8 · 4.9 · 4.10-тараулар) сәйкес жиналып, өңделсе және импорттаушы ел талап ететін ауруларға қатысты импорттық шарттар орындалып, екіжақты ветеринариялық сертификат берілсе — халықаралық саудада кедергі болмайды. Яғни кодексті сақтау — сауданың техникалық алғышарты, ал түпкілікті шарт — импорттаушы елдің ветеринариялық талаптары.  </w:t>
      </w:r>
    </w:p>
    <w:p>
      <w:pPr>
        <w:spacing w:after="0" w:before="120" w:line="283" w:lineRule="auto"/>
        <w:jc w:val="left"/>
        <w:pBdr>
          <w:bottom w:val="single" w:sz="4" w:space="4" w:color="BBBBBB"/>
        </w:pBdr>
      </w:pPr>
    </w:p>
    <w:p>
      <w:pPr>
        <w:spacing w:after="0" w:before="0" w:line="252" w:lineRule="auto"/>
        <w:jc w:val="left"/>
      </w:pPr>
      <w:r>
        <w:rPr>
          <w:rFonts w:ascii="Times New Roman" w:hAnsi="Times New Roman" w:eastAsia="Times New Roman" w:cs="Times New Roman"/>
          <w:b w:val="0"/>
          <w:color w:val="5A5A5A"/>
          <w:sz w:val="16"/>
        </w:rPr>
        <w:t>Шығарушы / Issuer: Genetics Co., Ltd. (Республика Корея).  Дереккөздер: WOAH Terrestrial Animal Health Code (қолданыстағы басылым); WTO SPS Agreement (Art. 3, Annex A). Анықтамалық құжат — дәйексөз кезінде соңғы басылым түпнұсқасын тексеру қажет.</w:t>
      </w:r>
    </w:p>
    <w:sectPr w:rsidR="00FC693F" w:rsidRPr="0006063C" w:rsidSect="00034616">
      <w:pgSz w:w="12240" w:h="15840"/>
      <w:pgMar w:top="964" w:right="1191" w:bottom="79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