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1927"/>
        <w:gridCol w:w="7711"/>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5.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10</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일일 교반·침상 관리 기록 개시</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 ODA 사업국 목장 방문 —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340"/>
      </w:pPr>
      <w:r>
        <w:rPr>
          <w:rFonts w:ascii="맑은 고딕" w:hAnsi="맑은 고딕" w:eastAsia="맑은 고딕"/>
          <w:b w:val="0"/>
          <w:sz w:val="19"/>
        </w:rPr>
        <w:t>[기록 7] 영업·홍보 활동 종합 — 국내외 교육·견학 대상 소개</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spacing w:after="60" w:before="0"/>
      </w:pPr>
      <w:r>
        <w:rPr>
          <w:rFonts w:ascii="맑은 고딕" w:hAnsi="맑은 고딕" w:eastAsia="맑은 고딕"/>
          <w:b w:val="0"/>
          <w:sz w:val="17"/>
        </w:rPr>
        <w:t>※ 기록지 A(1주 1장)는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 작성).</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2154"/>
        <w:gridCol w:w="7484"/>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1701"/>
        <w:gridCol w:w="6010"/>
        <w:gridCol w:w="1927"/>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2381"/>
        <w:gridCol w:w="7257"/>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381"/>
        <w:gridCol w:w="2608"/>
        <w:gridCol w:w="1360"/>
        <w:gridCol w:w="3288"/>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5.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1927"/>
        <w:gridCol w:w="4876"/>
        <w:gridCol w:w="2835"/>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측정장비 도입(11월) 후 실측</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A (베딩 추가)</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A에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(측정장비 도입 후 침상 두께·깊이·온도·수분·암모니아를 정기 측정)</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 교반·재료 투입)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5. 1.  /  2026. 5.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5.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5.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시간·수분·냄새 등급은 11월부터 기록지 A로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5.~),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7] 영업·홍보 활동 종합 — 국내외 교육·견학 대상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수행기간</w:t>
            </w:r>
          </w:p>
        </w:tc>
        <w:tc>
          <w:tcPr>
            <w:tcW w:type="dxa" w:w="7824"/>
          </w:tcPr>
          <w:p>
            <w:pPr>
              <w:spacing w:after="20" w:line="252" w:lineRule="auto"/>
            </w:pPr>
            <w:r/>
            <w:r>
              <w:rPr>
                <w:rFonts w:ascii="맑은 고딕" w:hAnsi="맑은 고딕" w:eastAsia="맑은 고딕"/>
                <w:b w:val="0"/>
                <w:sz w:val="18"/>
              </w:rPr>
              <w:t>2026. 10. 27.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정책기관·대학·해외 연수단 등 다양한 대상에게 실증지 HBP와 본 과제를 소개하여 보급·확산 기반을 마련한다. (영업·판매·홍보)</w:t>
            </w:r>
          </w:p>
        </w:tc>
      </w:tr>
    </w:tbl>
    <w:p>
      <w:pPr>
        <w:spacing w:after="40"/>
      </w:pPr>
    </w:p>
    <w:tbl>
      <w:tblPr>
        <w:tblStyle w:val="TableGrid"/>
        <w:tblW w:type="auto" w:w="0"/>
        <w:jc w:val="center"/>
        <w:tblLayout w:type="fixed"/>
        <w:tblLook w:firstColumn="1" w:firstRow="1" w:lastColumn="0" w:lastRow="0" w:noHBand="0" w:noVBand="1" w:val="04A0"/>
      </w:tblPr>
      <w:tblGrid>
        <w:gridCol w:w="1587"/>
        <w:gridCol w:w="2608"/>
        <w:gridCol w:w="1360"/>
        <w:gridCol w:w="3175"/>
        <w:gridCol w:w="907"/>
      </w:tblGrid>
      <w:tr>
        <w:tc>
          <w:tcPr>
            <w:tcW w:type="dxa" w:w="1587"/>
            <w:shd w:val="clear" w:color="auto" w:fill="EDEDED"/>
          </w:tcPr>
          <w:p>
            <w:pPr>
              <w:spacing w:after="20" w:line="252" w:lineRule="auto"/>
              <w:jc w:val="center"/>
            </w:pPr>
            <w:r/>
            <w:r>
              <w:rPr>
                <w:rFonts w:ascii="맑은 고딕" w:hAnsi="맑은 고딕" w:eastAsia="맑은 고딕"/>
                <w:b/>
                <w:sz w:val="17"/>
              </w:rPr>
              <w:t>일자</w:t>
            </w:r>
          </w:p>
        </w:tc>
        <w:tc>
          <w:tcPr>
            <w:tcW w:type="dxa" w:w="2608"/>
            <w:shd w:val="clear" w:color="auto" w:fill="EDEDED"/>
          </w:tcPr>
          <w:p>
            <w:pPr>
              <w:spacing w:after="20" w:line="252" w:lineRule="auto"/>
              <w:jc w:val="center"/>
            </w:pPr>
            <w:r/>
            <w:r>
              <w:rPr>
                <w:rFonts w:ascii="맑은 고딕" w:hAnsi="맑은 고딕" w:eastAsia="맑은 고딕"/>
                <w:b/>
                <w:sz w:val="17"/>
              </w:rPr>
              <w:t>대상</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175"/>
            <w:shd w:val="clear" w:color="auto" w:fill="EDEDED"/>
          </w:tcPr>
          <w:p>
            <w:pPr>
              <w:spacing w:after="20" w:line="252" w:lineRule="auto"/>
              <w:jc w:val="center"/>
            </w:pPr>
            <w:r/>
            <w:r>
              <w:rPr>
                <w:rFonts w:ascii="맑은 고딕" w:hAnsi="맑은 고딕" w:eastAsia="맑은 고딕"/>
                <w:b/>
                <w:sz w:val="17"/>
              </w:rPr>
              <w:t>소개 내용</w:t>
            </w:r>
          </w:p>
        </w:tc>
        <w:tc>
          <w:tcPr>
            <w:tcW w:type="dxa" w:w="907"/>
            <w:shd w:val="clear" w:color="auto" w:fill="EDEDED"/>
          </w:tcPr>
          <w:p>
            <w:pPr>
              <w:spacing w:after="20" w:line="252" w:lineRule="auto"/>
              <w:jc w:val="center"/>
            </w:pPr>
            <w:r/>
            <w:r>
              <w:rPr>
                <w:rFonts w:ascii="맑은 고딕" w:hAnsi="맑은 고딕" w:eastAsia="맑은 고딕"/>
                <w:b/>
                <w:sz w:val="17"/>
              </w:rPr>
              <w:t>사진</w:t>
            </w:r>
          </w:p>
        </w:tc>
      </w:tr>
      <w:tr>
        <w:tc>
          <w:tcPr>
            <w:tcW w:type="dxa" w:w="1587"/>
          </w:tcPr>
          <w:p>
            <w:pPr>
              <w:spacing w:after="20" w:line="252" w:lineRule="auto"/>
            </w:pPr>
            <w:r/>
            <w:r>
              <w:rPr>
                <w:rFonts w:ascii="맑은 고딕" w:hAnsi="맑은 고딕" w:eastAsia="맑은 고딕"/>
                <w:b w:val="0"/>
                <w:sz w:val="17"/>
              </w:rPr>
              <w:t>2026. 7. 9.</w:t>
            </w:r>
          </w:p>
        </w:tc>
        <w:tc>
          <w:tcPr>
            <w:tcW w:type="dxa" w:w="2608"/>
          </w:tcPr>
          <w:p>
            <w:pPr>
              <w:spacing w:after="20" w:line="252" w:lineRule="auto"/>
            </w:pPr>
            <w:r/>
            <w:r>
              <w:rPr>
                <w:rFonts w:ascii="맑은 고딕" w:hAnsi="맑은 고딕" w:eastAsia="맑은 고딕"/>
                <w:b w:val="0"/>
                <w:sz w:val="17"/>
              </w:rPr>
              <w:t>경기도청 도지사 인수위원회, 도의원 및 관계자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지속가능한 축산의 핵심 과제로 HBP와 본 과제 소개, 향후 보급사업 설명</w:t>
            </w:r>
          </w:p>
        </w:tc>
        <w:tc>
          <w:tcPr>
            <w:tcW w:type="dxa" w:w="907"/>
          </w:tcPr>
          <w:p>
            <w:pPr>
              <w:spacing w:after="20" w:line="252" w:lineRule="auto"/>
              <w:jc w:val="center"/>
            </w:pPr>
            <w:r/>
            <w:r>
              <w:rPr>
                <w:rFonts w:ascii="맑은 고딕" w:hAnsi="맑은 고딕" w:eastAsia="맑은 고딕"/>
                <w:b w:val="0"/>
                <w:sz w:val="17"/>
              </w:rPr>
              <w:t>14</w:t>
            </w:r>
          </w:p>
        </w:tc>
      </w:tr>
      <w:tr>
        <w:tc>
          <w:tcPr>
            <w:tcW w:type="dxa" w:w="1587"/>
          </w:tcPr>
          <w:p>
            <w:pPr>
              <w:spacing w:after="20" w:line="252" w:lineRule="auto"/>
            </w:pPr>
            <w:r/>
            <w:r>
              <w:rPr>
                <w:rFonts w:ascii="맑은 고딕" w:hAnsi="맑은 고딕" w:eastAsia="맑은 고딕"/>
                <w:b w:val="0"/>
                <w:sz w:val="17"/>
              </w:rPr>
              <w:t>2026. 7. 15.</w:t>
            </w:r>
          </w:p>
        </w:tc>
        <w:tc>
          <w:tcPr>
            <w:tcW w:type="dxa" w:w="2608"/>
          </w:tcPr>
          <w:p>
            <w:pPr>
              <w:spacing w:after="20" w:line="252" w:lineRule="auto"/>
            </w:pPr>
            <w:r/>
            <w:r>
              <w:rPr>
                <w:rFonts w:ascii="맑은 고딕" w:hAnsi="맑은 고딕" w:eastAsia="맑은 고딕"/>
                <w:b w:val="0"/>
                <w:sz w:val="17"/>
              </w:rPr>
              <w:t>연암대학교 스마트축산학과 (농대 영농창업특성화사업 국내 현장실습)</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침상·교반 작업 설명</w:t>
            </w:r>
          </w:p>
        </w:tc>
        <w:tc>
          <w:tcPr>
            <w:tcW w:type="dxa" w:w="907"/>
          </w:tcPr>
          <w:p>
            <w:pPr>
              <w:spacing w:after="20" w:line="252" w:lineRule="auto"/>
              <w:jc w:val="center"/>
            </w:pPr>
            <w:r/>
            <w:r>
              <w:rPr>
                <w:rFonts w:ascii="맑은 고딕" w:hAnsi="맑은 고딕" w:eastAsia="맑은 고딕"/>
                <w:b w:val="0"/>
                <w:sz w:val="17"/>
              </w:rPr>
              <w:t>15</w:t>
            </w:r>
          </w:p>
        </w:tc>
      </w:tr>
      <w:tr>
        <w:tc>
          <w:tcPr>
            <w:tcW w:type="dxa" w:w="1587"/>
          </w:tcPr>
          <w:p>
            <w:pPr>
              <w:spacing w:after="20" w:line="252" w:lineRule="auto"/>
            </w:pPr>
            <w:r/>
            <w:r>
              <w:rPr>
                <w:rFonts w:ascii="맑은 고딕" w:hAnsi="맑은 고딕" w:eastAsia="맑은 고딕"/>
                <w:b w:val="0"/>
                <w:sz w:val="17"/>
              </w:rPr>
              <w:t>2026. 7. 30.</w:t>
            </w:r>
          </w:p>
        </w:tc>
        <w:tc>
          <w:tcPr>
            <w:tcW w:type="dxa" w:w="2608"/>
          </w:tcPr>
          <w:p>
            <w:pPr>
              <w:spacing w:after="20" w:line="252" w:lineRule="auto"/>
            </w:pPr>
            <w:r/>
            <w:r>
              <w:rPr>
                <w:rFonts w:ascii="맑은 고딕" w:hAnsi="맑은 고딕" w:eastAsia="맑은 고딕"/>
                <w:b w:val="0"/>
                <w:sz w:val="17"/>
              </w:rPr>
              <w:t>농림축산식품부 축산경영과장, 낙농진흥회, 경기도청 축산국</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[기록 2] 참조</w:t>
            </w:r>
          </w:p>
        </w:tc>
        <w:tc>
          <w:tcPr>
            <w:tcW w:type="dxa" w:w="907"/>
          </w:tcPr>
          <w:p>
            <w:pPr>
              <w:spacing w:after="20" w:line="252" w:lineRule="auto"/>
              <w:jc w:val="center"/>
            </w:pPr>
            <w:r/>
            <w:r>
              <w:rPr>
                <w:rFonts w:ascii="맑은 고딕" w:hAnsi="맑은 고딕" w:eastAsia="맑은 고딕"/>
                <w:b w:val="0"/>
                <w:sz w:val="17"/>
              </w:rPr>
              <w:t>—</w:t>
            </w:r>
          </w:p>
        </w:tc>
      </w:tr>
      <w:tr>
        <w:tc>
          <w:tcPr>
            <w:tcW w:type="dxa" w:w="1587"/>
          </w:tcPr>
          <w:p>
            <w:pPr>
              <w:spacing w:after="20" w:line="252" w:lineRule="auto"/>
            </w:pPr>
            <w:r/>
            <w:r>
              <w:rPr>
                <w:rFonts w:ascii="맑은 고딕" w:hAnsi="맑은 고딕" w:eastAsia="맑은 고딕"/>
                <w:b w:val="0"/>
                <w:sz w:val="17"/>
              </w:rPr>
              <w:t>2026. 8. 25.</w:t>
            </w:r>
          </w:p>
        </w:tc>
        <w:tc>
          <w:tcPr>
            <w:tcW w:type="dxa" w:w="2608"/>
          </w:tcPr>
          <w:p>
            <w:pPr>
              <w:spacing w:after="20" w:line="252" w:lineRule="auto"/>
            </w:pPr>
            <w:r/>
            <w:r>
              <w:rPr>
                <w:rFonts w:ascii="맑은 고딕" w:hAnsi="맑은 고딕" w:eastAsia="맑은 고딕"/>
                <w:b w:val="0"/>
                <w:sz w:val="17"/>
              </w:rPr>
              <w:t>건국대학교 수의과대학 학생</w:t>
            </w:r>
          </w:p>
        </w:tc>
        <w:tc>
          <w:tcPr>
            <w:tcW w:type="dxa" w:w="1361"/>
          </w:tcPr>
          <w:p>
            <w:pPr>
              <w:spacing w:after="20" w:line="252" w:lineRule="auto"/>
            </w:pPr>
            <w:r/>
            <w:r>
              <w:rPr>
                <w:rFonts w:ascii="맑은 고딕" w:hAnsi="맑은 고딕" w:eastAsia="맑은 고딕"/>
                <w:b w:val="0"/>
                <w:sz w:val="17"/>
              </w:rPr>
              <w:t>농협 위생교육원</w:t>
            </w:r>
          </w:p>
        </w:tc>
        <w:tc>
          <w:tcPr>
            <w:tcW w:type="dxa" w:w="3175"/>
          </w:tcPr>
          <w:p>
            <w:pPr>
              <w:spacing w:after="20" w:line="252" w:lineRule="auto"/>
            </w:pPr>
            <w:r/>
            <w:r>
              <w:rPr>
                <w:rFonts w:ascii="맑은 고딕" w:hAnsi="맑은 고딕" w:eastAsia="맑은 고딕"/>
                <w:b w:val="0"/>
                <w:sz w:val="17"/>
              </w:rPr>
              <w:t>D2O·송영신목장 소개, HBP 시스템 교육</w:t>
            </w:r>
          </w:p>
        </w:tc>
        <w:tc>
          <w:tcPr>
            <w:tcW w:type="dxa" w:w="907"/>
          </w:tcPr>
          <w:p>
            <w:pPr>
              <w:spacing w:after="20" w:line="252" w:lineRule="auto"/>
              <w:jc w:val="center"/>
            </w:pPr>
            <w:r/>
            <w:r>
              <w:rPr>
                <w:rFonts w:ascii="맑은 고딕" w:hAnsi="맑은 고딕" w:eastAsia="맑은 고딕"/>
                <w:b w:val="0"/>
                <w:sz w:val="17"/>
              </w:rPr>
              <w:t>16</w:t>
            </w:r>
          </w:p>
        </w:tc>
      </w:tr>
      <w:tr>
        <w:tc>
          <w:tcPr>
            <w:tcW w:type="dxa" w:w="1587"/>
          </w:tcPr>
          <w:p>
            <w:pPr>
              <w:spacing w:after="20" w:line="252" w:lineRule="auto"/>
            </w:pPr>
            <w:r/>
            <w:r>
              <w:rPr>
                <w:rFonts w:ascii="맑은 고딕" w:hAnsi="맑은 고딕" w:eastAsia="맑은 고딕"/>
                <w:b w:val="0"/>
                <w:sz w:val="17"/>
              </w:rPr>
              <w:t>2026. 8. 31. ~ 9. 11.</w:t>
            </w:r>
          </w:p>
        </w:tc>
        <w:tc>
          <w:tcPr>
            <w:tcW w:type="dxa" w:w="2608"/>
          </w:tcPr>
          <w:p>
            <w:pPr>
              <w:spacing w:after="20" w:line="252" w:lineRule="auto"/>
            </w:pPr>
            <w:r/>
            <w:r>
              <w:rPr>
                <w:rFonts w:ascii="맑은 고딕" w:hAnsi="맑은 고딕" w:eastAsia="맑은 고딕"/>
                <w:b w:val="0"/>
                <w:sz w:val="17"/>
              </w:rPr>
              <w:t>우즈베키스탄 수의사 연수생 2명</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연수 기간 중 HBP 침상 운영과 본 과제 설명</w:t>
            </w:r>
          </w:p>
        </w:tc>
        <w:tc>
          <w:tcPr>
            <w:tcW w:type="dxa" w:w="907"/>
          </w:tcPr>
          <w:p>
            <w:pPr>
              <w:spacing w:after="20" w:line="252" w:lineRule="auto"/>
              <w:jc w:val="center"/>
            </w:pPr>
            <w:r/>
            <w:r>
              <w:rPr>
                <w:rFonts w:ascii="맑은 고딕" w:hAnsi="맑은 고딕" w:eastAsia="맑은 고딕"/>
                <w:b w:val="0"/>
                <w:sz w:val="17"/>
              </w:rPr>
              <w:t>17</w:t>
            </w:r>
          </w:p>
        </w:tc>
      </w:tr>
      <w:tr>
        <w:tc>
          <w:tcPr>
            <w:tcW w:type="dxa" w:w="1587"/>
          </w:tcPr>
          <w:p>
            <w:pPr>
              <w:spacing w:after="20" w:line="252" w:lineRule="auto"/>
            </w:pPr>
            <w:r/>
            <w:r>
              <w:rPr>
                <w:rFonts w:ascii="맑은 고딕" w:hAnsi="맑은 고딕" w:eastAsia="맑은 고딕"/>
                <w:b w:val="0"/>
                <w:sz w:val="17"/>
              </w:rPr>
              <w:t>2026. 9. 8.</w:t>
            </w:r>
          </w:p>
        </w:tc>
        <w:tc>
          <w:tcPr>
            <w:tcW w:type="dxa" w:w="2608"/>
          </w:tcPr>
          <w:p>
            <w:pPr>
              <w:spacing w:after="20" w:line="252" w:lineRule="auto"/>
            </w:pPr>
            <w:r/>
            <w:r>
              <w:rPr>
                <w:rFonts w:ascii="맑은 고딕" w:hAnsi="맑은 고딕" w:eastAsia="맑은 고딕"/>
                <w:b w:val="0"/>
                <w:sz w:val="17"/>
              </w:rPr>
              <w:t>라오스 농림부 중앙공무원 (KOICA 연수단)</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18</w:t>
            </w:r>
          </w:p>
        </w:tc>
      </w:tr>
      <w:tr>
        <w:tc>
          <w:tcPr>
            <w:tcW w:type="dxa" w:w="1587"/>
          </w:tcPr>
          <w:p>
            <w:pPr>
              <w:spacing w:after="20" w:line="252" w:lineRule="auto"/>
            </w:pPr>
            <w:r/>
            <w:r>
              <w:rPr>
                <w:rFonts w:ascii="맑은 고딕" w:hAnsi="맑은 고딕" w:eastAsia="맑은 고딕"/>
                <w:b w:val="0"/>
                <w:sz w:val="17"/>
              </w:rPr>
              <w:t>2026. 9. 23.</w:t>
            </w:r>
          </w:p>
        </w:tc>
        <w:tc>
          <w:tcPr>
            <w:tcW w:type="dxa" w:w="2608"/>
          </w:tcPr>
          <w:p>
            <w:pPr>
              <w:spacing w:after="20" w:line="252" w:lineRule="auto"/>
            </w:pPr>
            <w:r/>
            <w:r>
              <w:rPr>
                <w:rFonts w:ascii="맑은 고딕" w:hAnsi="맑은 고딕" w:eastAsia="맑은 고딕"/>
                <w:b w:val="0"/>
                <w:sz w:val="17"/>
              </w:rPr>
              <w:t>베트남 국립농업대학교 및 농업농촌개발부 공무원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19</w:t>
            </w:r>
          </w:p>
        </w:tc>
      </w:tr>
      <w:tr>
        <w:tc>
          <w:tcPr>
            <w:tcW w:type="dxa" w:w="1587"/>
          </w:tcPr>
          <w:p>
            <w:pPr>
              <w:spacing w:after="20" w:line="252" w:lineRule="auto"/>
            </w:pPr>
            <w:r/>
            <w:r>
              <w:rPr>
                <w:rFonts w:ascii="맑은 고딕" w:hAnsi="맑은 고딕" w:eastAsia="맑은 고딕"/>
                <w:b w:val="0"/>
                <w:sz w:val="17"/>
              </w:rPr>
              <w:t>2026. 8. ~ 10.</w:t>
            </w:r>
          </w:p>
        </w:tc>
        <w:tc>
          <w:tcPr>
            <w:tcW w:type="dxa" w:w="2608"/>
          </w:tcPr>
          <w:p>
            <w:pPr>
              <w:spacing w:after="20" w:line="252" w:lineRule="auto"/>
            </w:pPr>
            <w:r/>
            <w:r>
              <w:rPr>
                <w:rFonts w:ascii="맑은 고딕" w:hAnsi="맑은 고딕" w:eastAsia="맑은 고딕"/>
                <w:b w:val="0"/>
                <w:sz w:val="17"/>
              </w:rPr>
              <w:t>우즈베키스탄·필리핀·네팔 현지</w:t>
            </w:r>
          </w:p>
        </w:tc>
        <w:tc>
          <w:tcPr>
            <w:tcW w:type="dxa" w:w="1361"/>
          </w:tcPr>
          <w:p>
            <w:pPr>
              <w:spacing w:after="20" w:line="252" w:lineRule="auto"/>
            </w:pPr>
            <w:r/>
            <w:r>
              <w:rPr>
                <w:rFonts w:ascii="맑은 고딕" w:hAnsi="맑은 고딕" w:eastAsia="맑은 고딕"/>
                <w:b w:val="0"/>
                <w:sz w:val="17"/>
              </w:rPr>
              <w:t>현지</w:t>
            </w:r>
          </w:p>
        </w:tc>
        <w:tc>
          <w:tcPr>
            <w:tcW w:type="dxa" w:w="3175"/>
          </w:tcPr>
          <w:p>
            <w:pPr>
              <w:spacing w:after="20" w:line="252" w:lineRule="auto"/>
            </w:pPr>
            <w:r/>
            <w:r>
              <w:rPr>
                <w:rFonts w:ascii="맑은 고딕" w:hAnsi="맑은 고딕" w:eastAsia="맑은 고딕"/>
                <w:b w:val="0"/>
                <w:sz w:val="17"/>
              </w:rPr>
              <w:t>[기록 3] 참조</w:t>
            </w:r>
          </w:p>
        </w:tc>
        <w:tc>
          <w:tcPr>
            <w:tcW w:type="dxa" w:w="907"/>
          </w:tcPr>
          <w:p>
            <w:pPr>
              <w:spacing w:after="20" w:line="252" w:lineRule="auto"/>
              <w:jc w:val="center"/>
            </w:pPr>
            <w:r/>
            <w:r>
              <w:rPr>
                <w:rFonts w:ascii="맑은 고딕" w:hAnsi="맑은 고딕" w:eastAsia="맑은 고딕"/>
                <w:b w:val="0"/>
                <w:sz w:val="17"/>
              </w:rPr>
              <w:t>10~13</w:t>
            </w:r>
          </w:p>
        </w:tc>
      </w:tr>
    </w:tbl>
    <w:p>
      <w:pPr>
        <w:spacing w:after="40"/>
      </w:pP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국내 정책기관(경기도·농식품부), 대학(연암대·건국대), 해외 연수단·방문단(우즈베키스탄·베트남·라오스)과 해외 현지(3개국)에 HBP와 갈전구리 과제를 소개함</w:t>
            </w:r>
          </w:p>
          <w:p>
            <w:pPr>
              <w:spacing w:after="20" w:line="252" w:lineRule="auto"/>
            </w:pPr>
            <w:r>
              <w:rPr>
                <w:rFonts w:ascii="맑은 고딕" w:hAnsi="맑은 고딕" w:eastAsia="맑은 고딕"/>
                <w:b w:val="0"/>
                <w:sz w:val="18"/>
              </w:rPr>
              <w:t>• 경기도에는 지속가능 축산 핵심 과제로 향후 보급사업을 설명하여 지자체 보급 연계 기반을 마련함</w:t>
            </w:r>
          </w:p>
          <w:p>
            <w:pPr>
              <w:spacing w:after="20" w:line="252" w:lineRule="auto"/>
            </w:pPr>
            <w:r>
              <w:rPr>
                <w:rFonts w:ascii="맑은 고딕" w:hAnsi="맑은 고딕" w:eastAsia="맑은 고딕"/>
                <w:b w:val="0"/>
                <w:sz w:val="18"/>
              </w:rPr>
              <w:t>• 실증지 송영신목장이 교육·견학 현장으로 활용되고 있어, 시제품 실증 이후 영업·판매의 시연 거점으로 활용 가능</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방문·교육 대상별 관심 사항과 후속 요청을 기록지 A 특이사항란과 연구 기록(제2부)에 누적하고, 2~3년차 시제품 시연·영업 대상 목록으로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사진 14~19, 행사 안내문·현수막·방명록</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22000" cy="1548000"/>
                  <wp:docPr id="15" name="Picture 15"/>
                  <wp:cNvGraphicFramePr>
                    <a:graphicFrameLocks noChangeAspect="1"/>
                  </wp:cNvGraphicFramePr>
                  <a:graphic>
                    <a:graphicData uri="http://schemas.openxmlformats.org/drawingml/2006/picture">
                      <pic:pic>
                        <pic:nvPicPr>
                          <pic:cNvPr id="0" name="pr-0709-gyeonggi-transition-briefing.jpg"/>
                          <pic:cNvPicPr/>
                        </pic:nvPicPr>
                        <pic:blipFill>
                          <a:blip r:embed="rId24"/>
                          <a:stretch>
                            <a:fillRect/>
                          </a:stretch>
                        </pic:blipFill>
                        <pic:spPr>
                          <a:xfrm>
                            <a:off x="0" y="0"/>
                            <a:ext cx="2322000"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64000" cy="1548000"/>
                  <wp:docPr id="16" name="Picture 16"/>
                  <wp:cNvGraphicFramePr>
                    <a:graphicFrameLocks noChangeAspect="1"/>
                  </wp:cNvGraphicFramePr>
                  <a:graphic>
                    <a:graphicData uri="http://schemas.openxmlformats.org/drawingml/2006/picture">
                      <pic:pic>
                        <pic:nvPicPr>
                          <pic:cNvPr id="0" name="pr-0715-yonam-univ-farm-visit.jpg"/>
                          <pic:cNvPicPr/>
                        </pic:nvPicPr>
                        <pic:blipFill>
                          <a:blip r:embed="rId25"/>
                          <a:stretch>
                            <a:fillRect/>
                          </a:stretch>
                        </pic:blipFill>
                        <pic:spPr>
                          <a:xfrm>
                            <a:off x="0" y="0"/>
                            <a:ext cx="2064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14〉 경기도청 인수위·도의원 설명 (2026. 7. 9.)</w:t>
            </w:r>
          </w:p>
        </w:tc>
        <w:tc>
          <w:tcPr>
            <w:tcW w:type="dxa" w:w="4819"/>
          </w:tcPr>
          <w:p>
            <w:pPr>
              <w:jc w:val="center"/>
            </w:pPr>
            <w:r>
              <w:rPr>
                <w:rFonts w:ascii="맑은 고딕" w:hAnsi="맑은 고딕" w:eastAsia="맑은 고딕"/>
                <w:b w:val="0"/>
                <w:sz w:val="16"/>
              </w:rPr>
              <w:t>〈사진 15〉 연암대 스마트축산학과 견학 (2026. 7. 15.)</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47351" cy="1548000"/>
                  <wp:docPr id="17" name="Picture 17"/>
                  <wp:cNvGraphicFramePr>
                    <a:graphicFrameLocks noChangeAspect="1"/>
                  </wp:cNvGraphicFramePr>
                  <a:graphic>
                    <a:graphicData uri="http://schemas.openxmlformats.org/drawingml/2006/picture">
                      <pic:pic>
                        <pic:nvPicPr>
                          <pic:cNvPr id="0" name="pr-0825-konkuk-vet-students-lecture.jpg"/>
                          <pic:cNvPicPr/>
                        </pic:nvPicPr>
                        <pic:blipFill>
                          <a:blip r:embed="rId26"/>
                          <a:stretch>
                            <a:fillRect/>
                          </a:stretch>
                        </pic:blipFill>
                        <pic:spPr>
                          <a:xfrm>
                            <a:off x="0" y="0"/>
                            <a:ext cx="2747351"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61000" cy="1548000"/>
                  <wp:docPr id="18" name="Picture 18"/>
                  <wp:cNvGraphicFramePr>
                    <a:graphicFrameLocks noChangeAspect="1"/>
                  </wp:cNvGraphicFramePr>
                  <a:graphic>
                    <a:graphicData uri="http://schemas.openxmlformats.org/drawingml/2006/picture">
                      <pic:pic>
                        <pic:nvPicPr>
                          <pic:cNvPr id="0" name="pr-0831-uzbek-vets-hbp-briefing.jpg"/>
                          <pic:cNvPicPr/>
                        </pic:nvPicPr>
                        <pic:blipFill>
                          <a:blip r:embed="rId27"/>
                          <a:stretch>
                            <a:fillRect/>
                          </a:stretch>
                        </pic:blipFill>
                        <pic:spPr>
                          <a:xfrm>
                            <a:off x="0" y="0"/>
                            <a:ext cx="1161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16〉 건국대 수의과 학생 교육 (2026. 8. 25.)</w:t>
            </w:r>
          </w:p>
        </w:tc>
        <w:tc>
          <w:tcPr>
            <w:tcW w:type="dxa" w:w="4819"/>
          </w:tcPr>
          <w:p>
            <w:pPr>
              <w:jc w:val="center"/>
            </w:pPr>
            <w:r>
              <w:rPr>
                <w:rFonts w:ascii="맑은 고딕" w:hAnsi="맑은 고딕" w:eastAsia="맑은 고딕"/>
                <w:b w:val="0"/>
                <w:sz w:val="16"/>
              </w:rPr>
              <w:t>〈사진 17〉 우즈베키스탄 수의사 연수 중 설명</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9" name="Picture 19"/>
                  <wp:cNvGraphicFramePr>
                    <a:graphicFrameLocks noChangeAspect="1"/>
                  </wp:cNvGraphicFramePr>
                  <a:graphic>
                    <a:graphicData uri="http://schemas.openxmlformats.org/drawingml/2006/picture">
                      <pic:pic>
                        <pic:nvPicPr>
                          <pic:cNvPr id="0" name="pr-0923-vietnam-vnua-mard-visit.jpg"/>
                          <pic:cNvPicPr/>
                        </pic:nvPicPr>
                        <pic:blipFill>
                          <a:blip r:embed="rId28"/>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400000" cy="1800000"/>
                  <wp:docPr id="20" name="Picture 20"/>
                  <wp:cNvGraphicFramePr>
                    <a:graphicFrameLocks noChangeAspect="1"/>
                  </wp:cNvGraphicFramePr>
                  <a:graphic>
                    <a:graphicData uri="http://schemas.openxmlformats.org/drawingml/2006/picture">
                      <pic:pic>
                        <pic:nvPicPr>
                          <pic:cNvPr id="0" name="pr-laos-koica-farm-visit.jpg"/>
                          <pic:cNvPicPr/>
                        </pic:nvPicPr>
                        <pic:blipFill>
                          <a:blip r:embed="rId29"/>
                          <a:stretch>
                            <a:fillRect/>
                          </a:stretch>
                        </pic:blipFill>
                        <pic:spPr>
                          <a:xfrm>
                            <a:off x="0" y="0"/>
                            <a:ext cx="240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19〉 베트남 국립농대·농업농촌개발부 공무원 견학 (2026. 9. 23.)</w:t>
            </w:r>
          </w:p>
        </w:tc>
        <w:tc>
          <w:tcPr>
            <w:tcW w:type="dxa" w:w="4819"/>
          </w:tcPr>
          <w:p>
            <w:pPr>
              <w:jc w:val="center"/>
            </w:pPr>
            <w:r>
              <w:rPr>
                <w:rFonts w:ascii="맑은 고딕" w:hAnsi="맑은 고딕" w:eastAsia="맑은 고딕"/>
                <w:b w:val="0"/>
                <w:sz w:val="16"/>
              </w:rPr>
              <w:t>〈사진 18〉 라오스 농림부 공무원(KOICA 연수) 견학 (2026. 9.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 — 매일 아침·저녁)</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34"/>
        <w:gridCol w:w="680"/>
        <w:gridCol w:w="1360"/>
        <w:gridCol w:w="1020"/>
        <w:gridCol w:w="623"/>
        <w:gridCol w:w="850"/>
        <w:gridCol w:w="1077"/>
        <w:gridCol w:w="1077"/>
        <w:gridCol w:w="1134"/>
        <w:gridCol w:w="1247"/>
        <w:gridCol w:w="3969"/>
        <w:gridCol w:w="907"/>
      </w:tblGrid>
      <w:tr>
        <w:trPr>
          <w:trHeight w:val="464"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1247"/>
            <w:shd w:val="clear" w:color="auto" w:fill="EDEDED"/>
          </w:tcPr>
          <w:p>
            <w:pPr>
              <w:spacing w:after="20" w:line="252" w:lineRule="auto"/>
              <w:jc w:val="center"/>
            </w:pPr>
            <w:r/>
            <w:r>
              <w:rPr>
                <w:rFonts w:ascii="맑은 고딕" w:hAnsi="맑은 고딕" w:eastAsia="맑은 고딕"/>
                <w:b/>
                <w:sz w:val="16"/>
              </w:rPr>
              <w:t>베딩 추가 m³</w:t>
            </w:r>
          </w:p>
          <w:p>
            <w:pPr>
              <w:spacing w:after="20" w:line="252" w:lineRule="auto"/>
              <w:jc w:val="center"/>
            </w:pPr>
            <w:r>
              <w:rPr>
                <w:rFonts w:ascii="맑은 고딕" w:hAnsi="맑은 고딕" w:eastAsia="맑은 고딕"/>
                <w:b/>
                <w:sz w:val="16"/>
              </w:rPr>
              <w:t>톱밥/피트모스</w:t>
            </w:r>
          </w:p>
        </w:tc>
        <w:tc>
          <w:tcPr>
            <w:tcW w:type="dxa" w:w="3969"/>
            <w:shd w:val="clear" w:color="auto" w:fill="EDEDED"/>
          </w:tcPr>
          <w:p>
            <w:pPr>
              <w:spacing w:after="20" w:line="252" w:lineRule="auto"/>
              <w:jc w:val="center"/>
            </w:pPr>
            <w:r/>
            <w:r>
              <w:rPr>
                <w:rFonts w:ascii="맑은 고딕" w:hAnsi="맑은 고딕" w:eastAsia="맑은 고딕"/>
                <w:b/>
                <w:sz w:val="16"/>
              </w:rPr>
              <w:t>특이사항 (변경·사유·관찰·방문)</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64"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247"/>
          </w:tcPr>
          <w:p>
            <w:pPr>
              <w:spacing w:after="20" w:line="252" w:lineRule="auto"/>
            </w:pPr>
            <w:r/>
            <w:r>
              <w:rPr>
                <w:rFonts w:ascii="맑은 고딕" w:hAnsi="맑은 고딕" w:eastAsia="맑은 고딕"/>
                <w:b w:val="0"/>
                <w:sz w:val="16"/>
              </w:rPr>
              <w:t xml:space="preserve">  /  </w:t>
            </w:r>
          </w:p>
        </w:tc>
        <w:tc>
          <w:tcPr>
            <w:tcW w:type="dxa" w:w="3969"/>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7"/>
        </w:rPr>
        <w:t>통로 분뇨 배출(스키드로더) 매일 ☐     주간 점검(연구책임자): ____________ (서명)   점검일: ________     ※ 재료 입고 시 거래명세서, 방문·교육 시 사진·방명록을 이 쪽 뒤에 붙인다.</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