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04 · FIELD POCKET CARDS — Print &amp; Laminate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인쇄 사양: A5 양면 6장 · 코팅 · 20세트 (참가자 1인 1세트)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언어: </w:t>
      </w: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English only</w:t>
      </w: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 (현장 사용물) · 그림·표 중심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CARD 1 — EMBRYO TRANSFER: GO / NO-GO</w:t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THE 7 RECIPIENT CRITERIA — one failure = REJECT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2160"/>
        <w:gridCol w:w="7056"/>
      </w:tblGrid>
      <w:tr>
        <w:trPr>
          <w:tblHeader/>
        </w:trPr>
        <w:tc>
          <w:tcPr>
            <w:tcW w:type="dxa" w:w="864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6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705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Cycling</w:t>
            </w:r>
          </w:p>
        </w:tc>
        <w:tc>
          <w:tcPr>
            <w:tcW w:type="dxa" w:w="70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Estrus observed / recorded</w:t>
            </w:r>
          </w:p>
        </w:tc>
      </w:tr>
      <w:tr>
        <w:tc>
          <w:tcPr>
            <w:tcW w:type="dxa" w:w="86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BCS</w:t>
            </w:r>
          </w:p>
        </w:tc>
        <w:tc>
          <w:tcPr>
            <w:tcW w:type="dxa" w:w="705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2.75 – 3.25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(5-pt)</w:t>
            </w:r>
          </w:p>
        </w:tc>
      </w:tr>
      <w:tr>
        <w:tc>
          <w:tcPr>
            <w:tcW w:type="dxa" w:w="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Days postpartum</w:t>
            </w:r>
          </w:p>
        </w:tc>
        <w:tc>
          <w:tcPr>
            <w:tcW w:type="dxa" w:w="70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≥ 50–60 days</w:t>
            </w:r>
          </w:p>
        </w:tc>
      </w:tr>
      <w:tr>
        <w:tc>
          <w:tcPr>
            <w:tcW w:type="dxa" w:w="86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4</w:t>
            </w:r>
          </w:p>
        </w:tc>
        <w:tc>
          <w:tcPr>
            <w:tcW w:type="dxa" w:w="216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Tract</w:t>
            </w:r>
          </w:p>
        </w:tc>
        <w:tc>
          <w:tcPr>
            <w:tcW w:type="dxa" w:w="705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Normal, no pyometra / adhesion</w:t>
            </w:r>
          </w:p>
        </w:tc>
      </w:tr>
      <w:tr>
        <w:tc>
          <w:tcPr>
            <w:tcW w:type="dxa" w:w="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5</w:t>
            </w:r>
          </w:p>
        </w:tc>
        <w:tc>
          <w:tcPr>
            <w:tcW w:type="dxa" w:w="2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Health</w:t>
            </w:r>
          </w:p>
        </w:tc>
        <w:tc>
          <w:tcPr>
            <w:tcW w:type="dxa" w:w="70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No fever, no lameness, no acute mastitis</w:t>
            </w:r>
          </w:p>
        </w:tc>
      </w:tr>
      <w:tr>
        <w:tc>
          <w:tcPr>
            <w:tcW w:type="dxa" w:w="86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6</w:t>
            </w:r>
          </w:p>
        </w:tc>
        <w:tc>
          <w:tcPr>
            <w:tcW w:type="dxa" w:w="216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Age</w:t>
            </w:r>
          </w:p>
        </w:tc>
        <w:tc>
          <w:tcPr>
            <w:tcW w:type="dxa" w:w="705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Heifer ≥14–15 mo at target weight; cow parity 1–5</w:t>
            </w:r>
          </w:p>
        </w:tc>
      </w:tr>
      <w:tr>
        <w:tc>
          <w:tcPr>
            <w:tcW w:type="dxa" w:w="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7</w:t>
            </w:r>
          </w:p>
        </w:tc>
        <w:tc>
          <w:tcPr>
            <w:tcW w:type="dxa" w:w="2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Day-7 CL</w:t>
            </w:r>
          </w:p>
        </w:tc>
        <w:tc>
          <w:tcPr>
            <w:tcW w:type="dxa" w:w="70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Present &amp; functional (≈18–20 mm+)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⛔ NO CL → NO TRANSFER. DO NOT THAW.</w:t>
      </w:r>
    </w:p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➡️ TRANSFER INTO THE HORN ON THE </w:t>
      </w: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SAME SIDE</w:t>
      </w: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 AS THE CL.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CARD 2 — THAWING &amp; TRANSFER (Direct Transfer straws)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THAW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1.  </w:t>
      </w:r>
      <w:r>
        <w:rPr>
          <w:rFonts w:ascii="Calibri" w:cs="Calibri" w:eastAsia="Malgun Gothic" w:hAnsi="Calibri"/>
          <w:sz w:val="19"/>
          <w:szCs w:val="19"/>
        </w:rPr>
        <w:t xml:space="preserve">Read the label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in the tank neck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2.  </w:t>
      </w:r>
      <w:r>
        <w:rPr>
          <w:rFonts w:ascii="Calibri" w:cs="Calibri" w:eastAsia="Malgun Gothic" w:hAnsi="Calibri"/>
          <w:sz w:val="19"/>
          <w:szCs w:val="19"/>
        </w:rPr>
        <w:t xml:space="preserve">Air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3–5 sec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3.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37 °C water bath — 20–30 sec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4.  </w:t>
      </w:r>
      <w:r>
        <w:rPr>
          <w:rFonts w:ascii="Calibri" w:cs="Calibri" w:eastAsia="Malgun Gothic" w:hAnsi="Calibri"/>
          <w:sz w:val="19"/>
          <w:szCs w:val="19"/>
        </w:rPr>
        <w:t xml:space="preserve">Dry · wipe · cut sealed end square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5.  </w:t>
      </w:r>
      <w:r>
        <w:rPr>
          <w:rFonts w:ascii="Calibri" w:cs="Calibri" w:eastAsia="Malgun Gothic" w:hAnsi="Calibri"/>
          <w:sz w:val="19"/>
          <w:szCs w:val="19"/>
        </w:rPr>
        <w:t xml:space="preserve">Load gun +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sanitary sheath (one per cow)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6.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Transfer within 5–10 min</w:t>
      </w:r>
      <w:r>
        <w:rPr>
          <w:rFonts w:ascii="Calibri" w:cs="Calibri" w:eastAsia="Malgun Gothic" w:hAnsi="Calibri"/>
          <w:sz w:val="19"/>
          <w:szCs w:val="19"/>
        </w:rPr>
        <w:t xml:space="preserve"> · no sunlight, no wind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⚠️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VITRIFIED straws: DO NOT use this protocol.</w:t>
      </w:r>
      <w:r>
        <w:rPr>
          <w:rFonts w:ascii="Calibri" w:cs="Calibri" w:eastAsia="Malgun Gothic" w:hAnsi="Calibri"/>
          <w:sz w:val="19"/>
          <w:szCs w:val="19"/>
        </w:rPr>
        <w:t xml:space="preserve"> Follow the laboratory card in the batch.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TRANSFER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1.  </w:t>
      </w:r>
      <w:r>
        <w:rPr>
          <w:rFonts w:ascii="Calibri" w:cs="Calibri" w:eastAsia="Malgun Gothic" w:hAnsi="Calibri"/>
          <w:sz w:val="19"/>
          <w:szCs w:val="19"/>
        </w:rPr>
        <w:t xml:space="preserve">Restrain · tail aside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2.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Epidural 2–3 mL lidocaine 2%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3.  </w:t>
      </w:r>
      <w:r>
        <w:rPr>
          <w:rFonts w:ascii="Calibri" w:cs="Calibri" w:eastAsia="Malgun Gothic" w:hAnsi="Calibri"/>
          <w:sz w:val="19"/>
          <w:szCs w:val="19"/>
        </w:rPr>
        <w:t xml:space="preserve">Clean &amp; dry vulva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4.  </w:t>
      </w:r>
      <w:r>
        <w:rPr>
          <w:rFonts w:ascii="Calibri" w:cs="Calibri" w:eastAsia="Malgun Gothic" w:hAnsi="Calibri"/>
          <w:sz w:val="19"/>
          <w:szCs w:val="19"/>
        </w:rPr>
        <w:t xml:space="preserve">Palpate 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confirm CL side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5.  </w:t>
      </w:r>
      <w:r>
        <w:rPr>
          <w:rFonts w:ascii="Calibri" w:cs="Calibri" w:eastAsia="Malgun Gothic" w:hAnsi="Calibri"/>
          <w:sz w:val="19"/>
          <w:szCs w:val="19"/>
        </w:rPr>
        <w:t xml:space="preserve">Pass cervix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gently</w:t>
      </w:r>
      <w:r>
        <w:rPr>
          <w:rFonts w:ascii="Calibri" w:cs="Calibri" w:eastAsia="Malgun Gothic" w:hAnsi="Calibri"/>
          <w:sz w:val="19"/>
          <w:szCs w:val="19"/>
        </w:rPr>
        <w:t xml:space="preserve"> (move cervix onto the gun)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6.  </w:t>
      </w:r>
      <w:r>
        <w:rPr>
          <w:rFonts w:ascii="Calibri" w:cs="Calibri" w:eastAsia="Malgun Gothic" w:hAnsi="Calibri"/>
          <w:sz w:val="19"/>
          <w:szCs w:val="19"/>
        </w:rPr>
        <w:t xml:space="preserve">Enter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ipsilateral horn</w:t>
      </w:r>
      <w:r>
        <w:rPr>
          <w:rFonts w:ascii="Calibri" w:cs="Calibri" w:eastAsia="Malgun Gothic" w:hAnsi="Calibri"/>
          <w:sz w:val="19"/>
          <w:szCs w:val="19"/>
        </w:rPr>
        <w:t xml:space="preserve">, break sheath at internal os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7.  </w:t>
      </w:r>
      <w:r>
        <w:rPr>
          <w:rFonts w:ascii="Calibri" w:cs="Calibri" w:eastAsia="Malgun Gothic" w:hAnsi="Calibri"/>
          <w:sz w:val="19"/>
          <w:szCs w:val="19"/>
        </w:rPr>
        <w:t xml:space="preserve">Deposit in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cranial 1/3</w:t>
      </w:r>
      <w:r>
        <w:rPr>
          <w:rFonts w:ascii="Calibri" w:cs="Calibri" w:eastAsia="Malgun Gothic" w:hAnsi="Calibri"/>
          <w:sz w:val="19"/>
          <w:szCs w:val="19"/>
        </w:rPr>
        <w:t xml:space="preserve"> of the horn · slow, full push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8.  </w:t>
      </w:r>
      <w:r>
        <w:rPr>
          <w:rFonts w:ascii="Calibri" w:cs="Calibri" w:eastAsia="Malgun Gothic" w:hAnsi="Calibri"/>
          <w:sz w:val="19"/>
          <w:szCs w:val="19"/>
        </w:rPr>
        <w:t xml:space="preserve">Withdraw straight · check straw is empty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9.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RECORD NOW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EASE SCORE</w:t>
      </w:r>
      <w:r>
        <w:rPr>
          <w:rFonts w:ascii="Calibri" w:cs="Calibri" w:eastAsia="Malgun Gothic" w:hAnsi="Calibri"/>
          <w:sz w:val="19"/>
          <w:szCs w:val="19"/>
        </w:rPr>
        <w:t xml:space="preserve"> 1 = easy · 2 = resistance · 3 =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difficult / blood</w:t>
      </w:r>
      <w:r>
        <w:rPr>
          <w:rFonts w:ascii="Calibri" w:cs="Calibri" w:eastAsia="Malgun Gothic" w:hAnsi="Calibri"/>
          <w:sz w:val="19"/>
          <w:szCs w:val="19"/>
        </w:rPr>
        <w:t xml:space="preserve"> → expect lower pregnancy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CARD 3 — ESTRUS CYCLE ESSENTIALS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tblHeader/>
        </w:trPr>
        <w:tc>
          <w:tcPr>
            <w:tcW w:type="dxa" w:w="215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Cycle length</w:t>
            </w:r>
          </w:p>
        </w:tc>
        <w:tc>
          <w:tcPr>
            <w:tcW w:type="dxa" w:w="793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21 d</w:t>
            </w:r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 (18–24)</w:t>
            </w:r>
          </w:p>
        </w:tc>
      </w:tr>
      <w:tr>
        <w:tc>
          <w:tcPr>
            <w:tcW w:type="dxa" w:w="2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Standing estrus</w:t>
            </w:r>
          </w:p>
        </w:tc>
        <w:tc>
          <w:tcPr>
            <w:tcW w:type="dxa" w:w="79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8–18 h (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shorter in heat stress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5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Ovulation</w:t>
            </w:r>
          </w:p>
        </w:tc>
        <w:tc>
          <w:tcPr>
            <w:tcW w:type="dxa" w:w="793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24–32 h after onset of standing estrus</w:t>
            </w:r>
          </w:p>
        </w:tc>
      </w:tr>
      <w:tr>
        <w:tc>
          <w:tcPr>
            <w:tcW w:type="dxa" w:w="2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PGF2α works only</w:t>
            </w:r>
          </w:p>
        </w:tc>
        <w:tc>
          <w:tcPr>
            <w:tcW w:type="dxa" w:w="79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Day 6 – Day 17 (functional CL)</w:t>
            </w:r>
          </w:p>
        </w:tc>
      </w:tr>
      <w:tr>
        <w:tc>
          <w:tcPr>
            <w:tcW w:type="dxa" w:w="215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GnRH works</w:t>
            </w:r>
          </w:p>
        </w:tc>
        <w:tc>
          <w:tcPr>
            <w:tcW w:type="dxa" w:w="793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Any day</w:t>
            </w:r>
          </w:p>
        </w:tc>
      </w:tr>
      <w:tr>
        <w:tc>
          <w:tcPr>
            <w:tcW w:type="dxa" w:w="2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AI timing rule</w:t>
            </w:r>
          </w:p>
        </w:tc>
        <w:tc>
          <w:tcPr>
            <w:tcW w:type="dxa" w:w="79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~12 h after onset of standing heat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(AM → PM · PM → next AM)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60–70% of standing heats happen between 18:00 and 06:00.</w:t>
      </w:r>
      <w:r>
        <w:rPr>
          <w:rFonts w:ascii="Calibri" w:cs="Calibri" w:eastAsia="Malgun Gothic" w:hAnsi="Calibri"/>
          <w:sz w:val="19"/>
          <w:szCs w:val="19"/>
        </w:rPr>
        <w:t xml:space="preserve"> Observe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3× daily, 20 min each</w:t>
      </w:r>
      <w:r>
        <w:rPr>
          <w:rFonts w:ascii="Calibri" w:cs="Calibri" w:eastAsia="Malgun Gothic" w:hAnsi="Calibri"/>
          <w:sz w:val="19"/>
          <w:szCs w:val="19"/>
        </w:rPr>
        <w:t xml:space="preserve">, at quiet times.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NO CL → PGF WILL NOT WORK.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CARD 4 — PROTOCOL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5"/>
        <w:gridCol w:w="1953"/>
        <w:gridCol w:w="938"/>
        <w:gridCol w:w="1328"/>
        <w:gridCol w:w="1719"/>
        <w:gridCol w:w="2657"/>
      </w:tblGrid>
      <w:tr>
        <w:trPr>
          <w:tblHeader/>
        </w:trPr>
        <w:tc>
          <w:tcPr>
            <w:tcW w:type="dxa" w:w="1485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6"/>
                <w:szCs w:val="16"/>
              </w:rPr>
              <w:t xml:space="preserve">Protocol</w:t>
            </w:r>
          </w:p>
        </w:tc>
        <w:tc>
          <w:tcPr>
            <w:tcW w:type="dxa" w:w="1953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6"/>
                <w:szCs w:val="16"/>
              </w:rPr>
              <w:t xml:space="preserve">Best for</w:t>
            </w:r>
          </w:p>
        </w:tc>
        <w:tc>
          <w:tcPr>
            <w:tcW w:type="dxa" w:w="938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6"/>
                <w:szCs w:val="16"/>
              </w:rPr>
              <w:t xml:space="preserve">D0</w:t>
            </w:r>
          </w:p>
        </w:tc>
        <w:tc>
          <w:tcPr>
            <w:tcW w:type="dxa" w:w="1328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6"/>
                <w:szCs w:val="16"/>
              </w:rPr>
              <w:t xml:space="preserve">Mid</w:t>
            </w:r>
          </w:p>
        </w:tc>
        <w:tc>
          <w:tcPr>
            <w:tcW w:type="dxa" w:w="1719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6"/>
                <w:szCs w:val="16"/>
              </w:rPr>
              <w:t xml:space="preserve">Final</w:t>
            </w:r>
          </w:p>
        </w:tc>
        <w:tc>
          <w:tcPr>
            <w:tcW w:type="dxa" w:w="2657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6"/>
                <w:szCs w:val="16"/>
              </w:rPr>
              <w:t xml:space="preserve">AI / ET</w:t>
            </w:r>
          </w:p>
        </w:tc>
      </w:tr>
      <w:tr>
        <w:tc>
          <w:tcPr>
            <w:tcW w:type="dxa" w:w="14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Double PGF</w:t>
            </w:r>
          </w:p>
        </w:tc>
        <w:tc>
          <w:tcPr>
            <w:tcW w:type="dxa" w:w="1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Cycling only</w:t>
            </w:r>
          </w:p>
        </w:tc>
        <w:tc>
          <w:tcPr>
            <w:tcW w:type="dxa" w:w="9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PGF</w:t>
            </w:r>
          </w:p>
        </w:tc>
        <w:tc>
          <w:tcPr>
            <w:tcW w:type="dxa" w:w="1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—</w:t>
            </w:r>
          </w:p>
        </w:tc>
        <w:tc>
          <w:tcPr>
            <w:tcW w:type="dxa" w:w="17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PGF D11–14</w:t>
            </w:r>
          </w:p>
        </w:tc>
        <w:tc>
          <w:tcPr>
            <w:tcW w:type="dxa" w:w="2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Estrus AI, or TAI 72 &amp; 96 h</w:t>
            </w:r>
          </w:p>
        </w:tc>
      </w:tr>
      <w:tr>
        <w:tc>
          <w:tcPr>
            <w:tcW w:type="dxa" w:w="148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Ovsynch</w:t>
            </w:r>
          </w:p>
        </w:tc>
        <w:tc>
          <w:tcPr>
            <w:tcW w:type="dxa" w:w="195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Lactating cows</w:t>
            </w:r>
          </w:p>
        </w:tc>
        <w:tc>
          <w:tcPr>
            <w:tcW w:type="dxa" w:w="93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</w:t>
            </w:r>
          </w:p>
        </w:tc>
        <w:tc>
          <w:tcPr>
            <w:tcW w:type="dxa" w:w="132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PGF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D7</w:t>
            </w:r>
          </w:p>
        </w:tc>
        <w:tc>
          <w:tcPr>
            <w:tcW w:type="dxa" w:w="171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D9 (56 h)</w:t>
            </w:r>
          </w:p>
        </w:tc>
        <w:tc>
          <w:tcPr>
            <w:tcW w:type="dxa" w:w="2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FTAI 16–20 h later</w:t>
            </w:r>
          </w:p>
        </w:tc>
      </w:tr>
      <w:tr>
        <w:tc>
          <w:tcPr>
            <w:tcW w:type="dxa" w:w="14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Presynch-Ovsynch</w:t>
            </w:r>
          </w:p>
        </w:tc>
        <w:tc>
          <w:tcPr>
            <w:tcW w:type="dxa" w:w="1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High yield</w:t>
            </w:r>
          </w:p>
        </w:tc>
        <w:tc>
          <w:tcPr>
            <w:tcW w:type="dxa" w:w="9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PGF −26, −12</w:t>
            </w:r>
          </w:p>
        </w:tc>
        <w:tc>
          <w:tcPr>
            <w:tcW w:type="dxa" w:w="1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Ovsynch D0</w:t>
            </w:r>
          </w:p>
        </w:tc>
        <w:tc>
          <w:tcPr>
            <w:tcW w:type="dxa" w:w="17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 D9</w:t>
            </w:r>
          </w:p>
        </w:tc>
        <w:tc>
          <w:tcPr>
            <w:tcW w:type="dxa" w:w="2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FTAI D10</w:t>
            </w:r>
          </w:p>
        </w:tc>
      </w:tr>
      <w:tr>
        <w:tc>
          <w:tcPr>
            <w:tcW w:type="dxa" w:w="148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5-d CO-Synch + CIDR</w:t>
            </w:r>
          </w:p>
        </w:tc>
        <w:tc>
          <w:tcPr>
            <w:tcW w:type="dxa" w:w="195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Heifers · anestrus · thin</w:t>
            </w:r>
          </w:p>
        </w:tc>
        <w:tc>
          <w:tcPr>
            <w:tcW w:type="dxa" w:w="93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 + CIDR</w:t>
            </w:r>
          </w:p>
        </w:tc>
        <w:tc>
          <w:tcPr>
            <w:tcW w:type="dxa" w:w="132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CIDR out + PGF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D5</w:t>
            </w:r>
          </w:p>
        </w:tc>
        <w:tc>
          <w:tcPr>
            <w:tcW w:type="dxa" w:w="171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D8</w:t>
            </w:r>
          </w:p>
        </w:tc>
        <w:tc>
          <w:tcPr>
            <w:tcW w:type="dxa" w:w="2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FTAI ~72 h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 (heifers ~60 h)</w:t>
            </w:r>
          </w:p>
        </w:tc>
      </w:tr>
      <w:tr>
        <w:tc>
          <w:tcPr>
            <w:tcW w:type="dxa" w:w="14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7-d CIDR-Synch</w:t>
            </w:r>
          </w:p>
        </w:tc>
        <w:tc>
          <w:tcPr>
            <w:tcW w:type="dxa" w:w="1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Deep anestrus</w:t>
            </w:r>
          </w:p>
        </w:tc>
        <w:tc>
          <w:tcPr>
            <w:tcW w:type="dxa" w:w="9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 + CIDR</w:t>
            </w:r>
          </w:p>
        </w:tc>
        <w:tc>
          <w:tcPr>
            <w:tcW w:type="dxa" w:w="1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CIDR out + PGF D7</w:t>
            </w:r>
          </w:p>
        </w:tc>
        <w:tc>
          <w:tcPr>
            <w:tcW w:type="dxa" w:w="17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</w:t>
            </w:r>
          </w:p>
        </w:tc>
        <w:tc>
          <w:tcPr>
            <w:tcW w:type="dxa" w:w="2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FTAI 56–72 h</w:t>
            </w:r>
          </w:p>
        </w:tc>
      </w:tr>
      <w:tr>
        <w:tc>
          <w:tcPr>
            <w:tcW w:type="dxa" w:w="148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FTET (recipients)</w:t>
            </w:r>
          </w:p>
        </w:tc>
        <w:tc>
          <w:tcPr>
            <w:tcW w:type="dxa" w:w="195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Embryo transfer</w:t>
            </w:r>
          </w:p>
        </w:tc>
        <w:tc>
          <w:tcPr>
            <w:tcW w:type="dxa" w:w="93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 + CIDR</w:t>
            </w:r>
          </w:p>
        </w:tc>
        <w:tc>
          <w:tcPr>
            <w:tcW w:type="dxa" w:w="132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CIDR out + PGF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D7</w:t>
            </w:r>
          </w:p>
        </w:tc>
        <w:tc>
          <w:tcPr>
            <w:tcW w:type="dxa" w:w="171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D9–10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 = ovulation</w:t>
            </w:r>
          </w:p>
        </w:tc>
        <w:tc>
          <w:tcPr>
            <w:tcW w:type="dxa" w:w="2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Transfer on Day 7 · CL check first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➕ Add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eCG at device removal</w:t>
      </w:r>
      <w:r>
        <w:rPr>
          <w:rFonts w:ascii="Calibri" w:cs="Calibri" w:eastAsia="Malgun Gothic" w:hAnsi="Calibri"/>
          <w:sz w:val="19"/>
          <w:szCs w:val="19"/>
        </w:rPr>
        <w:t xml:space="preserve"> for anestrus / low-BCS animals. 📌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Synchronize 1.4–1.6 recipients per embryo.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HORMONE HANDLING:</w:t>
      </w:r>
      <w:r>
        <w:rPr>
          <w:rFonts w:ascii="Calibri" w:cs="Calibri" w:eastAsia="Malgun Gothic" w:hAnsi="Calibri"/>
          <w:sz w:val="19"/>
          <w:szCs w:val="19"/>
        </w:rPr>
        <w:t xml:space="preserve"> 2–8 °C · never freeze · never in a hot vehicle · cool box in the field · record product, lot, dose, date, animal, operator. ⚠️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PGF2α: pregnant women and asthmatics must not handle. Wear gloves.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CARD 5 — WHEN NOT TO INSEMINATE OR TRANSFER</w:t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⛔ CALL THE VETERINARIAN — do nothing today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Temperature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≥ 39.5 °C</w:t>
      </w:r>
      <w:r>
        <w:rPr>
          <w:rFonts w:ascii="Calibri" w:cs="Calibri" w:eastAsia="Malgun Gothic" w:hAnsi="Calibri"/>
          <w:sz w:val="19"/>
          <w:szCs w:val="19"/>
        </w:rPr>
        <w:t xml:space="preserve"> or obvious systemic illness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Foul-smelling uterine discharge within 21 days postpartum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Down cow · severe lameness (score 4–5)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Acute mastitis with systemic signs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Abortion / stillbirth / abnormal membranes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Suspected ovarian cyst (&gt;25 mm, no CL)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⏸ POSTPONE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BCS &lt; 2.75 · Less than 50 days postpartum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On antibiotics / in withdrawal period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No estrus record (anestrus) → put on a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CIDR-based protocol</w:t>
      </w:r>
      <w:r>
        <w:rPr>
          <w:rFonts w:ascii="Calibri" w:cs="Calibri" w:eastAsia="Malgun Gothic" w:hAnsi="Calibri"/>
          <w:sz w:val="19"/>
          <w:szCs w:val="19"/>
        </w:rPr>
        <w:t xml:space="preserve"> first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✅ PROCEED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None of the above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AND</w:t>
      </w:r>
      <w:r>
        <w:rPr>
          <w:rFonts w:ascii="Calibri" w:cs="Calibri" w:eastAsia="Malgun Gothic" w:hAnsi="Calibri"/>
          <w:sz w:val="19"/>
          <w:szCs w:val="19"/>
        </w:rPr>
        <w:t xml:space="preserve"> (for ET)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Day-7 CL confirmed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CARD 6 — TECHNICIAN BIOSECURITY &amp; RECORD LINE</w:t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YOUR 8 RULES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New sleeve — every cow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2.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New sanitary sheath — every transfer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3.  </w:t>
      </w:r>
      <w:r>
        <w:rPr>
          <w:rFonts w:ascii="Calibri" w:cs="Calibri" w:eastAsia="Malgun Gothic" w:hAnsi="Calibri"/>
          <w:sz w:val="19"/>
          <w:szCs w:val="19"/>
        </w:rPr>
        <w:t xml:space="preserve">Clean &amp; disinfect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boots and coveralls between farms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4.  </w:t>
      </w:r>
      <w:r>
        <w:rPr>
          <w:rFonts w:ascii="Calibri" w:cs="Calibri" w:eastAsia="Malgun Gothic" w:hAnsi="Calibri"/>
          <w:sz w:val="19"/>
          <w:szCs w:val="19"/>
        </w:rPr>
        <w:t xml:space="preserve">Clean the gun between animals · closed clean case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5.  </w:t>
      </w:r>
      <w:r>
        <w:rPr>
          <w:rFonts w:ascii="Calibri" w:cs="Calibri" w:eastAsia="Malgun Gothic" w:hAnsi="Calibri"/>
          <w:sz w:val="19"/>
          <w:szCs w:val="19"/>
        </w:rPr>
        <w:t xml:space="preserve">Never carry manure / placenta / aborted material off a farm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6.  </w:t>
      </w:r>
      <w:r>
        <w:rPr>
          <w:rFonts w:ascii="Calibri" w:cs="Calibri" w:eastAsia="Malgun Gothic" w:hAnsi="Calibri"/>
          <w:sz w:val="19"/>
          <w:szCs w:val="19"/>
        </w:rPr>
        <w:t xml:space="preserve">Route: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healthy &amp; young herds FIRST, problem herds LAST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7.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Gloves for all discharges</w:t>
      </w:r>
      <w:r>
        <w:rPr>
          <w:rFonts w:ascii="Calibri" w:cs="Calibri" w:eastAsia="Malgun Gothic" w:hAnsi="Calibri"/>
          <w:sz w:val="19"/>
          <w:szCs w:val="19"/>
        </w:rPr>
        <w:t xml:space="preserve"> — leptospirosis and brucellosis are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zoonotic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8.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Record every farm visit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THE RECORD LINE (copy this into your notebook)</w:t>
      </w:r>
    </w:p>
    <w:p>
      <w:pPr>
        <w:shd w:fill="F3F6F2" w:val="clear"/>
        <w:spacing w:after="0" w:before="10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Date | Cow ID | Days since estrus | BCS | CL side &amp; size |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Straw ID (donor / sire / stage / grade / sex) | Thaw time | Transfer time |</w:t>
      </w:r>
    </w:p>
    <w:p>
      <w:pPr>
        <w:shd w:fill="F3F6F2" w:val="clear"/>
        <w:spacing w:after="14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Ease score 1-3 | Operator | PD D30 | PD D60 | Calving date | Calf sex</w:t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HEAT STRESS — DO EVERYTHING BEFORE 09:00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Water → Shade → Fans → Sprinkler+fan → Timing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인쇄 발주 사양 (운영진용)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규격 A5, 양면, 200g 이상 아트지 + 무광 코팅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CARD 1·2 = 1장 앞뒤 / CARD 3·4 = 1장 앞뒤 / CARD 5·6 = 1장 앞뒤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1세트 = 3장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수량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20세트 + 예비 10세트 = 30세트 (90장)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링홀 1개 펀칭 + 고리 → 현장 휴대성 확보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하단 공통 푸터: 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Genetics Co., Ltd. / Korea Animal Hospital — Dr. Hyunje Ha, DVM</w:t>
      </w:r>
      <w:r>
        <w:rPr>
          <w:rFonts w:ascii="Calibri" w:cs="Calibri" w:eastAsia="Malgun Gothic" w:hAnsi="Calibri"/>
          <w:sz w:val="19"/>
          <w:szCs w:val="19"/>
        </w:rPr>
        <w:t xml:space="preserve"> + 연락처 + QR(사후 Q&amp;A 채널)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sectPr>
      <w:footerReference w:type="default" r:id="rId7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Malgun Gothic" w:hAnsi="Calibri"/>
        <w:color w:val="5C665F"/>
        <w:sz w:val="14"/>
        <w:szCs w:val="14"/>
      </w:rPr>
      <w:t xml:space="preserve">포켓카드     </w:t>
    </w:r>
    <w:r>
      <w:rPr>
        <w:rFonts w:ascii="Calibri" w:cs="Calibri" w:eastAsia="Malgun Gothic" w:hAnsi="Calibri"/>
        <w:color w:val="5C665F"/>
        <w:sz w:val="14"/>
        <w:szCs w:val="14"/>
      </w:rPr>
      <w:t xml:space="preserve">Page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algun Gothic" w:hAnsi="Calibri"/>
        <w:color w:val="5C665F"/>
        <w:sz w:val="14"/>
        <w:szCs w:val="14"/>
      </w:rPr>
      <w:t xml:space="preserve"> /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Pocket Cards — 현장 배포용</dc:title>
  <dc:creator>Dr. Hyunje Ha, DVM — Genetics Co., Ltd.</dc:creator>
  <cp:lastModifiedBy>Un-named</cp:lastModifiedBy>
  <cp:revision>1</cp:revision>
  <dcterms:created xsi:type="dcterms:W3CDTF">2026-09-12T15:48:54.393Z</dcterms:created>
  <dcterms:modified xsi:type="dcterms:W3CDTF">2026-09-12T15:48:54.393Z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