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6FA368"/>
          <w:spacing w:val="30"/>
          <w:sz w:val="17"/>
          <w:szCs w:val="17"/>
        </w:rPr>
        <w:t xml:space="preserve">PHILIPPINES AI TECHNICIAN TRAINING</w:t>
      </w:r>
    </w:p>
    <w:p>
      <w:pPr>
        <w:spacing w:after="60"/>
      </w:pPr>
      <w:r>
        <w:rPr>
          <w:rFonts w:ascii="Cambria" w:cs="Cambria" w:eastAsia="Malgun Gothic" w:hAnsi="Cambria"/>
          <w:b/>
          <w:bCs/>
          <w:color w:val="1F4A2C"/>
          <w:sz w:val="34"/>
          <w:szCs w:val="34"/>
        </w:rPr>
        <w:t xml:space="preserve">Application Assessment</w:t>
      </w:r>
    </w:p>
    <w:p>
      <w:pPr>
        <w:pBdr>
          <w:bottom w:val="single" w:color="6FA368" w:sz="8" w:space="8"/>
        </w:pBdr>
        <w:spacing w:after="120"/>
      </w:pPr>
      <w:r>
        <w:rPr>
          <w:rFonts w:ascii="Calibri" w:cs="Calibri" w:eastAsia="Malgun Gothic" w:hAnsi="Calibri"/>
          <w:color w:val="5C665F"/>
          <w:sz w:val="20"/>
          <w:szCs w:val="20"/>
        </w:rPr>
        <w:t xml:space="preserve">Embryo Transfer · Estrus Synchronization · Rumen Physiology and Dairy Cow Diseases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shd w:fill="F3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F4A2C"/>
                <w:sz w:val="19"/>
                <w:szCs w:val="19"/>
              </w:rPr>
              <w:t xml:space="preserve">Questions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sz w:val="19"/>
                <w:szCs w:val="19"/>
              </w:rPr>
              <w:t xml:space="preserve">5 items — single best answer</w:t>
            </w:r>
          </w:p>
        </w:tc>
      </w:tr>
      <w:tr>
        <w:tc>
          <w:tcPr>
            <w:tcW w:type="dxa" w:w="2808"/>
            <w:shd w:fill="F3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F4A2C"/>
                <w:sz w:val="19"/>
                <w:szCs w:val="19"/>
              </w:rPr>
              <w:t xml:space="preserve">Marks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sz w:val="19"/>
                <w:szCs w:val="19"/>
              </w:rPr>
              <w:t xml:space="preserve">20 points each · 100 total</w:t>
            </w:r>
          </w:p>
        </w:tc>
      </w:tr>
      <w:tr>
        <w:tc>
          <w:tcPr>
            <w:tcW w:type="dxa" w:w="2808"/>
            <w:shd w:fill="F3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F4A2C"/>
                <w:sz w:val="19"/>
                <w:szCs w:val="19"/>
              </w:rPr>
              <w:t xml:space="preserve">Pass mark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sz w:val="19"/>
                <w:szCs w:val="19"/>
              </w:rPr>
              <w:t xml:space="preserve">4 out of 5 (80 points)</w:t>
            </w:r>
          </w:p>
        </w:tc>
      </w:tr>
      <w:tr>
        <w:tc>
          <w:tcPr>
            <w:tcW w:type="dxa" w:w="2808"/>
            <w:shd w:fill="F3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F4A2C"/>
                <w:sz w:val="19"/>
                <w:szCs w:val="19"/>
              </w:rPr>
              <w:t xml:space="preserve">Time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sz w:val="19"/>
                <w:szCs w:val="19"/>
              </w:rPr>
              <w:t xml:space="preserve">Approximately 7 minutes</w:t>
            </w:r>
          </w:p>
        </w:tc>
      </w:tr>
      <w:tr>
        <w:tc>
          <w:tcPr>
            <w:tcW w:type="dxa" w:w="2808"/>
            <w:shd w:fill="F3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F4A2C"/>
                <w:sz w:val="19"/>
                <w:szCs w:val="19"/>
              </w:rPr>
              <w:t xml:space="preserve">Instructor</w:t>
            </w:r>
          </w:p>
        </w:tc>
        <w:tc>
          <w:tcPr>
            <w:tcW w:type="dxa" w:w="6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algun Gothic" w:hAnsi="Calibri"/>
                <w:sz w:val="19"/>
                <w:szCs w:val="19"/>
              </w:rPr>
              <w:t xml:space="preserve">Dr. Hyunje Ha, DVM — Genetics Co., Ltd. / Korea Animal Hospital</w:t>
            </w:r>
          </w:p>
        </w:tc>
      </w:tr>
    </w:tbl>
    <w:p>
      <w:pPr>
        <w:spacing w:after="200"/>
      </w:pPr>
    </w:p>
    <w:p>
      <w:pPr>
        <w:spacing w:after="120" w:before="120"/>
      </w:pPr>
      <w:r>
        <w:rPr>
          <w:rFonts w:ascii="Calibri" w:cs="Calibri" w:eastAsia="Malgun Gothic" w:hAnsi="Calibri"/>
          <w:b/>
          <w:bCs/>
          <w:sz w:val="21"/>
          <w:szCs w:val="21"/>
        </w:rPr>
        <w:t xml:space="preserve">Name: </w:t>
      </w:r>
      <w:r>
        <w:rPr>
          <w:rFonts w:ascii="Calibri" w:cs="Calibri" w:eastAsia="Malgun Gothic" w:hAnsi="Calibri"/>
          <w:sz w:val="21"/>
          <w:szCs w:val="21"/>
        </w:rPr>
        <w:t xml:space="preserve">__________________________        </w:t>
      </w:r>
      <w:r>
        <w:rPr>
          <w:rFonts w:ascii="Calibri" w:cs="Calibri" w:eastAsia="Malgun Gothic" w:hAnsi="Calibri"/>
          <w:b/>
          <w:bCs/>
          <w:sz w:val="21"/>
          <w:szCs w:val="21"/>
        </w:rPr>
        <w:t xml:space="preserve">Organisation: </w:t>
      </w:r>
      <w:r>
        <w:rPr>
          <w:rFonts w:ascii="Calibri" w:cs="Calibri" w:eastAsia="Malgun Gothic" w:hAnsi="Calibri"/>
          <w:sz w:val="21"/>
          <w:szCs w:val="21"/>
        </w:rPr>
        <w:t xml:space="preserve">__________________________        </w:t>
      </w:r>
      <w:r>
        <w:rPr>
          <w:rFonts w:ascii="Calibri" w:cs="Calibri" w:eastAsia="Malgun Gothic" w:hAnsi="Calibri"/>
          <w:b/>
          <w:bCs/>
          <w:sz w:val="21"/>
          <w:szCs w:val="21"/>
        </w:rPr>
        <w:t xml:space="preserve">Date: </w:t>
      </w:r>
      <w:r>
        <w:rPr>
          <w:rFonts w:ascii="Calibri" w:cs="Calibri" w:eastAsia="Malgun Gothic" w:hAnsi="Calibri"/>
          <w:sz w:val="21"/>
          <w:szCs w:val="21"/>
        </w:rPr>
        <w:t xml:space="preserve">______________</w:t>
      </w:r>
    </w:p>
    <w:p>
      <w:pPr>
        <w:spacing w:after="160"/>
      </w:pPr>
      <w:r>
        <w:rPr>
          <w:rFonts w:ascii="Calibri" w:cs="Calibri" w:eastAsia="Malgun Gothic" w:hAnsi="Calibri"/>
          <w:i/>
          <w:iCs/>
          <w:color w:val="5C665F"/>
          <w:sz w:val="19"/>
          <w:szCs w:val="19"/>
        </w:rPr>
        <w:t xml:space="preserve">Mark one box only for each question. All questions are compulsory.</w:t>
      </w:r>
    </w:p>
    <w:p>
      <w:pPr>
        <w:keepNext/>
        <w:spacing w:after="100" w:before="300"/>
      </w:pPr>
      <w:r>
        <w:rPr>
          <w:rFonts w:ascii="Calibri" w:cs="Calibri" w:eastAsia="Malgun Gothic" w:hAnsi="Calibri"/>
          <w:b/>
          <w:bCs/>
          <w:color w:val="1F4A2C"/>
          <w:sz w:val="22"/>
          <w:szCs w:val="22"/>
        </w:rPr>
        <w:t xml:space="preserve">Q1.</w:t>
      </w:r>
      <w:r>
        <w:rPr>
          <w:rFonts w:ascii="Calibri" w:cs="Calibri" w:eastAsia="Malgun Gothic" w:hAnsi="Calibri"/>
          <w:color w:val="5C665F"/>
          <w:sz w:val="17"/>
          <w:szCs w:val="17"/>
        </w:rPr>
        <w:t xml:space="preserve">   </w:t>
      </w:r>
    </w:p>
    <w:p>
      <w:pPr>
        <w:keepNext/>
        <w:spacing w:after="140"/>
      </w:pPr>
      <w:r>
        <w:rPr>
          <w:rFonts w:ascii="Calibri" w:cs="Calibri" w:eastAsia="Malgun Gothic" w:hAnsi="Calibri"/>
          <w:sz w:val="21"/>
          <w:szCs w:val="21"/>
        </w:rPr>
        <w:t xml:space="preserve">You are about to transfer one Grade 1 frozen sexed Holstein embryo. On transfer day you palpate the recipient and find no corpus luteum on either ovary. What should you do?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A)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Transfer into the left uterine horn anyway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B)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Thaw the embryo and place it in the horn with the largest follicle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C)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Reject this recipient and do not thaw the embryo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D)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Give GnRH and transfer 24 hours later</w:t>
      </w:r>
    </w:p>
    <w:p>
      <w:pPr>
        <w:keepNext/>
        <w:spacing w:after="100" w:before="300"/>
      </w:pPr>
      <w:r>
        <w:rPr>
          <w:rFonts w:ascii="Calibri" w:cs="Calibri" w:eastAsia="Malgun Gothic" w:hAnsi="Calibri"/>
          <w:b/>
          <w:bCs/>
          <w:color w:val="1F4A2C"/>
          <w:sz w:val="22"/>
          <w:szCs w:val="22"/>
        </w:rPr>
        <w:t xml:space="preserve">Q2.</w:t>
      </w:r>
      <w:r>
        <w:rPr>
          <w:rFonts w:ascii="Calibri" w:cs="Calibri" w:eastAsia="Malgun Gothic" w:hAnsi="Calibri"/>
          <w:color w:val="5C665F"/>
          <w:sz w:val="17"/>
          <w:szCs w:val="17"/>
        </w:rPr>
        <w:t xml:space="preserve">   </w:t>
      </w:r>
    </w:p>
    <w:p>
      <w:pPr>
        <w:keepNext/>
        <w:spacing w:after="140"/>
      </w:pPr>
      <w:r>
        <w:rPr>
          <w:rFonts w:ascii="Calibri" w:cs="Calibri" w:eastAsia="Malgun Gothic" w:hAnsi="Calibri"/>
          <w:sz w:val="21"/>
          <w:szCs w:val="21"/>
        </w:rPr>
        <w:t xml:space="preserve">A cow has not been seen in heat for 120 days and is in body condition score 2.5. You inject PGF2α. Nothing happens. Why?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A)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The dose was too low for her body weight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B)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She is anovular — there is no functional corpus luteum for PGF2α to act on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C)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PGF2α is effective only in heifers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D)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PGF2α always requires two injections 11 days apart</w:t>
      </w:r>
    </w:p>
    <w:p>
      <w:pPr>
        <w:keepNext/>
        <w:spacing w:after="100" w:before="300"/>
      </w:pPr>
      <w:r>
        <w:rPr>
          <w:rFonts w:ascii="Calibri" w:cs="Calibri" w:eastAsia="Malgun Gothic" w:hAnsi="Calibri"/>
          <w:b/>
          <w:bCs/>
          <w:color w:val="1F4A2C"/>
          <w:sz w:val="22"/>
          <w:szCs w:val="22"/>
        </w:rPr>
        <w:t xml:space="preserve">Q3.</w:t>
      </w:r>
      <w:r>
        <w:rPr>
          <w:rFonts w:ascii="Calibri" w:cs="Calibri" w:eastAsia="Malgun Gothic" w:hAnsi="Calibri"/>
          <w:color w:val="5C665F"/>
          <w:sz w:val="17"/>
          <w:szCs w:val="17"/>
        </w:rPr>
        <w:t xml:space="preserve">   </w:t>
      </w:r>
    </w:p>
    <w:p>
      <w:pPr>
        <w:keepNext/>
        <w:spacing w:after="140"/>
      </w:pPr>
      <w:r>
        <w:rPr>
          <w:rFonts w:ascii="Calibri" w:cs="Calibri" w:eastAsia="Malgun Gothic" w:hAnsi="Calibri"/>
          <w:sz w:val="21"/>
          <w:szCs w:val="21"/>
        </w:rPr>
        <w:t xml:space="preserve">In an Ovsynch programme you give the second GnRH at 08:00 on Day 9. When should the fixed-time insemination be done?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A)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Immediately, at 08:00 on Day 9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B)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6–8 hours later, the same afternoon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C)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16–20 hours later, on Day 10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D)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48 hours later, on Day 11</w:t>
      </w:r>
    </w:p>
    <w:p>
      <w:pPr>
        <w:keepNext/>
        <w:spacing w:after="100" w:before="300"/>
      </w:pPr>
      <w:r>
        <w:rPr>
          <w:rFonts w:ascii="Calibri" w:cs="Calibri" w:eastAsia="Malgun Gothic" w:hAnsi="Calibri"/>
          <w:b/>
          <w:bCs/>
          <w:color w:val="1F4A2C"/>
          <w:sz w:val="22"/>
          <w:szCs w:val="22"/>
        </w:rPr>
        <w:t xml:space="preserve">Q4.</w:t>
      </w:r>
      <w:r>
        <w:rPr>
          <w:rFonts w:ascii="Calibri" w:cs="Calibri" w:eastAsia="Malgun Gothic" w:hAnsi="Calibri"/>
          <w:color w:val="5C665F"/>
          <w:sz w:val="17"/>
          <w:szCs w:val="17"/>
        </w:rPr>
        <w:t xml:space="preserve">   </w:t>
      </w:r>
    </w:p>
    <w:p>
      <w:pPr>
        <w:keepNext/>
        <w:spacing w:after="140"/>
      </w:pPr>
      <w:r>
        <w:rPr>
          <w:rFonts w:ascii="Calibri" w:cs="Calibri" w:eastAsia="Malgun Gothic" w:hAnsi="Calibri"/>
          <w:sz w:val="21"/>
          <w:szCs w:val="21"/>
        </w:rPr>
        <w:t xml:space="preserve">A herd is fed a high-concentrate, finely chopped ration. Bulk milk fat has fallen, the fat-to-protein ratio in early-lactation cows is 0.95, and the manure is loose with gas bubbles and undigested grain. What is the most likely diagnosis?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A)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Clinical ketosis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B)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Subacute ruminal acidosis (SARA)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C)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Left displaced abomasum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D)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Clinical hypocalcaemia</w:t>
      </w:r>
    </w:p>
    <w:p>
      <w:pPr>
        <w:keepNext/>
        <w:spacing w:after="100" w:before="300"/>
      </w:pPr>
      <w:r>
        <w:rPr>
          <w:rFonts w:ascii="Calibri" w:cs="Calibri" w:eastAsia="Malgun Gothic" w:hAnsi="Calibri"/>
          <w:b/>
          <w:bCs/>
          <w:color w:val="1F4A2C"/>
          <w:sz w:val="22"/>
          <w:szCs w:val="22"/>
        </w:rPr>
        <w:t xml:space="preserve">Q5.</w:t>
      </w:r>
      <w:r>
        <w:rPr>
          <w:rFonts w:ascii="Calibri" w:cs="Calibri" w:eastAsia="Malgun Gothic" w:hAnsi="Calibri"/>
          <w:color w:val="5C665F"/>
          <w:sz w:val="17"/>
          <w:szCs w:val="17"/>
        </w:rPr>
        <w:t xml:space="preserve">   </w:t>
      </w:r>
    </w:p>
    <w:p>
      <w:pPr>
        <w:keepNext/>
        <w:spacing w:after="140"/>
      </w:pPr>
      <w:r>
        <w:rPr>
          <w:rFonts w:ascii="Calibri" w:cs="Calibri" w:eastAsia="Malgun Gothic" w:hAnsi="Calibri"/>
          <w:sz w:val="21"/>
          <w:szCs w:val="21"/>
        </w:rPr>
        <w:t xml:space="preserve">You are monitoring a dry-cow anionic salt (DCAD) programme. Urine pH in your Holstein dry cows measures 7.4. What does this tell you?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A)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The programme is working correctly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B)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The cows are over-acidified — reduce the anionic salts immediately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C)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The cows are still alkaline — the anionic salts are not working and milk fever risk remains</w:t>
      </w:r>
    </w:p>
    <w:p>
      <w:pPr>
        <w:keepNext w:val="false"/>
        <w:spacing w:after="80"/>
        <w:ind w:left="340"/>
      </w:pPr>
      <w:r>
        <w:rPr>
          <w:rFonts w:ascii="Calibri" w:cs="Calibri" w:eastAsia="Malgun Gothic" w:hAnsi="Calibri"/>
          <w:color w:val="5C665F"/>
          <w:sz w:val="21"/>
          <w:szCs w:val="21"/>
        </w:rPr>
        <w:t xml:space="preserve">□  </w:t>
      </w:r>
      <w:r>
        <w:rPr>
          <w:rFonts w:ascii="Calibri" w:cs="Calibri" w:eastAsia="Malgun Gothic" w:hAnsi="Calibri"/>
          <w:b/>
          <w:bCs/>
          <w:color w:val="000000"/>
          <w:sz w:val="21"/>
          <w:szCs w:val="21"/>
        </w:rPr>
        <w:t xml:space="preserve">D)  </w:t>
      </w:r>
      <w:r>
        <w:rPr>
          <w:rFonts w:ascii="Calibri" w:cs="Calibri" w:eastAsia="Malgun Gothic" w:hAnsi="Calibri"/>
          <w:b w:val="false"/>
          <w:bCs w:val="false"/>
          <w:color w:val="000000"/>
          <w:sz w:val="21"/>
          <w:szCs w:val="21"/>
        </w:rPr>
        <w:t xml:space="preserve">The result indicates a urinary tract infection</w:t>
      </w:r>
    </w:p>
    <w:p>
      <w:pPr>
        <w:spacing w:before="400"/>
        <w:jc w:val="center"/>
      </w:pPr>
      <w:r>
        <w:rPr>
          <w:rFonts w:ascii="Calibri" w:cs="Calibri" w:eastAsia="Malgun Gothic" w:hAnsi="Calibri"/>
          <w:color w:val="5C665F"/>
          <w:sz w:val="19"/>
          <w:szCs w:val="19"/>
        </w:rPr>
        <w:t xml:space="preserve">— End of assessment —</w:t>
      </w:r>
    </w:p>
    <w:sectPr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5"/>
        <w:szCs w:val="15"/>
      </w:rPr>
      <w:t xml:space="preserve">Application Assessment     </w:t>
    </w:r>
    <w:r>
      <w:rPr>
        <w:rFonts w:ascii="Calibri" w:cs="Calibri" w:eastAsia="Malgun Gothic" w:hAnsi="Calibri"/>
        <w:color w:val="5C665F"/>
        <w:sz w:val="15"/>
        <w:szCs w:val="15"/>
      </w:rPr>
      <w:t xml:space="preserve">Page </w:t>
    </w:r>
    <w:r>
      <w:rPr>
        <w:rFonts w:ascii="Calibri" w:cs="Calibri" w:eastAsia="Malgun Gothic" w:hAnsi="Calibri"/>
        <w:color w:val="5C665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5"/>
        <w:szCs w:val="15"/>
      </w:rPr>
      <w:t xml:space="preserve"> of </w:t>
    </w:r>
    <w:r>
      <w:rPr>
        <w:rFonts w:ascii="Calibri" w:cs="Calibri" w:eastAsia="Malgun Gothic" w:hAnsi="Calibri"/>
        <w:color w:val="5C665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Assessment — Philippines AI Technician Training</dc:title>
  <dc:creator>Dr. Hyunje Ha, DVM</dc:creator>
  <cp:lastModifiedBy>Un-named</cp:lastModifiedBy>
  <cp:revision>1</cp:revision>
  <dcterms:created xsi:type="dcterms:W3CDTF">2026-09-12T15:48:53.209Z</dcterms:created>
  <dcterms:modified xsi:type="dcterms:W3CDTF">2026-09-12T15:48:53.209Z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