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테스트 및 영업·홍보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운영 방식은 ㈜디투오의 기존 보고 주기(일일 점검표 → 주간 실증 일지 → 월간 진도보고)를 표준화한 것이며, 주관기관(GMW)의 연구노트 운영 기준을 따른다.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작성 우사 도면 1·2차(2026. 9. 21.) 및 평면도 v3. 미확정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실측 예정 항목: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참고문헌: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참고: 현행 작업시간(회당 약 30분)으로 환산하면 1,368 m² 기준 약 2,736 m²/hr이며, 11월 실측값으로 확정한다. 장치의 1차년도 목표(1,500 m²/hr)는 무인 작업(작업자 투입 없음)을 전제로 수동 기준선과 함께 비교한다.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측정장비(휴대용 암모니아 측정기, 침상 수분계, 탐침 온도계, pH 측정기, 온습도 데이터로거, 거리·깊이 측정 도구)는 1년차 연구재료비(장비운행비 중 4,500천원)로 11월 초 구입하여 기준선 측정 개시 전에 갖춘다. 기종·교정일을 부록 2 머리말에 기록한다.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일지 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마스터 연구노트 No.2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