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성감별 수정란 생산·이송 및 현지 이식(ET) 사업 수행계획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사업: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네팔 신둘리 한-네팔 시범 낙농마을 낙농 생산성 및 가치사슬 향상 사업 (Enhancing Productivity and Dairy Value Chain in Nepal-Korea Model Dairy Village in Sindhuli)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발주처: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한국농어촌공사 글로벌사업처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PMC 용역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(2026~2030, 5년)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대상지: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네팔 Bagmati Province, Sindhuli District, Kamalamai Municipality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해당 파트: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유우군 능력검정시스템 구축 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수정란이식(ET) 분야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제출처: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해퍼코리아㈜ (제안서 취합 담당: 이혜원 대표)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작성: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고려동물병원 원장 / ㈜제네틱스 대표이사 하현제 (수의사) — 파견분야: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번식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작성일:</w:t>
      </w:r>
      <w:r>
        <w:rPr>
          <w:rFonts w:ascii="Malgun Gothic" w:cs="Malgun Gothic" w:eastAsia="Malgun Gothic" w:hAnsi="Malgun Gothic"/>
          <w:sz w:val="20"/>
          <w:szCs w:val="20"/>
        </w:rPr>
        <w:t xml:space="preserve"> 2026-08-01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분량: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본문 3장 + 부록</w:t>
      </w: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표기 원칙: 본 문서의 수치는 국내 실적을 기준으로 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예상치·목표치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이며, 현지 수란우(受卵牛) 확보 두수와 액체질소 인프라 실사 결과에 따라 확정합니다. 공급 대상은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한국산 홀스타인 성감별(암) 유우 수정란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 사업 개요 및 수행자 역량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파트는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한국에서 생산한 홀스타인 성감별 수정란을 대상국 현지 목장에 안전하게 이송·보관하고, 선발된 수란우에 이식하여 암송아지를 생산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것을 목표로 합니다. 단순 수정란 공급이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생산 → 이송 → 보관 → 개체 선발 → 이식 → 임신감정 → 분만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까지 전 주기를 책임지는 구조로 설계했습니다.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수행자 보유 역량(국내 실적 기준)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4"/>
        <w:gridCol w:w="6636"/>
      </w:tblGrid>
      <w:tr>
        <w:trPr>
          <w:tblHeader/>
        </w:trPr>
        <w:tc>
          <w:tcPr>
            <w:tcW w:type="dxa" w:w="300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3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실적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 경력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1999년 ~ 현재 (약 27년)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수정란이식(ET) 진료 경력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2005년 ~ 현재 (약 21년)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생산(IVP) 경력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2009년 ~ 현재 (약 17년)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연간 이식 시술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3,000두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연간 수정란 생산·공급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4,000개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국내 평균 수태율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60%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보유 조직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㈜제네틱스(생산·유전체), 고려동물병원(이식·번식관리)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전담 수의사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하현제, 임광택, 신동환, 김민철 (4인)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공적 인정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2016년 농림축산식품부장관 표창 · 2021년 국무총리 표창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 운영 실적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고능력 체외수정란(IVF)을 젖소에 이식하는 대리모 프로그램을 국내에 정착시켜,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 선발 → 발정동기화 → 이식 → 임신감정 → 분만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전 과정을 대규모로 운영해 왔습니다. 본 사업에서 요구하는 현지 대리모 선정 및 이식 관리는 이 운영 체계를 그대로 적용하는 것입니다.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국제 실적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국내에서 개량한 한국형 홀스타인의 우수 유전형질을 성감별(암) 수정란으로 생산하여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중앙아시아·동남아시아 및 중동(두바이 허브) 수출 기반을 구축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하였으며, 수출검역·건강증명 등 국제 통관 요건을 충족하는 수출용 수정란 생산체계를 갖추고 있습니다.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농촌진흥청(RDA)과 협력한 우즈베키스탄 공급 사례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통해 검역·이송·현지 이식의 실무 경험을 확보하였습니다. (세부 수치는 협의 시 제시)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 성감별 수정란 생산 및 이송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2-1. 국내에서의 제작 방법 — 도축장 난소 유래 체외수정란(IVP) 생산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사업의 수정란은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국내 도축장에서 도축되는 한국 홀스타인의 난소를 이용한 체외수정란(IVP, In Vitro Production)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으로 생산하며, 전 공정에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IETS(국제수정란 이식학회) 권장 방법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적용합니다.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원료 개체(난소 공여축) 선발 — 3중 검증 + 공적 증명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75"/>
        <w:gridCol w:w="8365"/>
      </w:tblGrid>
      <w:tr>
        <w:trPr>
          <w:tblHeader/>
        </w:trPr>
        <w:tc>
          <w:tcPr>
            <w:tcW w:type="dxa" w:w="127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836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1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혈통</w:t>
            </w:r>
          </w:p>
        </w:tc>
        <w:tc>
          <w:tcPr>
            <w:tcW w:type="dxa" w:w="8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혈통 3대 이상 등록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된 한국 홀스타인 개체</w:t>
            </w:r>
          </w:p>
        </w:tc>
      </w:tr>
      <w:tr>
        <w:tc>
          <w:tcPr>
            <w:tcW w:type="dxa" w:w="1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능력</w:t>
            </w:r>
          </w:p>
        </w:tc>
        <w:tc>
          <w:tcPr>
            <w:tcW w:type="dxa" w:w="8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혈통 성적(산유능력·유성분 등 유전능력) 기준 충족 개체</w:t>
            </w:r>
          </w:p>
        </w:tc>
      </w:tr>
      <w:tr>
        <w:tc>
          <w:tcPr>
            <w:tcW w:type="dxa" w:w="1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위생·건강</w:t>
            </w:r>
          </w:p>
        </w:tc>
        <w:tc>
          <w:tcPr>
            <w:tcW w:type="dxa" w:w="8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도축검사 결과 이상이 없는 개체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(질병·건강 이상 없음)에 한함</w:t>
            </w:r>
          </w:p>
        </w:tc>
      </w:tr>
      <w:tr>
        <w:tc>
          <w:tcPr>
            <w:tcW w:type="dxa" w:w="1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공적 증명</w:t>
            </w:r>
          </w:p>
        </w:tc>
        <w:tc>
          <w:tcPr>
            <w:tcW w:type="dxa" w:w="8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한국종축개량협회 발행 수정란이식증명서 첨부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도축검사를 통과한 개체만 사용하므로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위생 안전성이 공적으로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되고, 혈통 3대 이상 등록 개체만 사용하므로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유전적 배경이 서류로 입증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됩니다. 수입국 검역 및 발주처 평가 단계에서 그대로 증빙으로 제출 가능한 구조입니다.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개체별 넘버링 · 개체별 배양 (본 사업의 핵심 차별점)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도축 단계에서 난소를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개체별로 넘버링하여 회수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하고, 이후 성숙 → 수정 → 배양 전 과정을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개체별로 분리 배양</w:t>
      </w:r>
      <w:r>
        <w:rPr>
          <w:rFonts w:ascii="Malgun Gothic" w:cs="Malgun Gothic" w:eastAsia="Malgun Gothic" w:hAnsi="Malgun Gothic"/>
          <w:sz w:val="20"/>
          <w:szCs w:val="20"/>
        </w:rPr>
        <w:t xml:space="preserve">합니다. → 생산된 모든 수정란은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어느 모축(母畜)에서 유래했는지 역추적이 가능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하며, </w:t>
      </w:r>
      <w:r>
        <w:rPr>
          <w:rFonts w:ascii="Consolas" w:cs="Consolas" w:eastAsia="Consolas" w:hAnsi="Consolas"/>
          <w:sz w:val="20"/>
          <w:szCs w:val="20"/>
        </w:rPr>
        <w:t xml:space="preserve">혈통증명서 → 수정란 → 이식 수란우 → 태어난 송아지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하나의 이력으로 연결됩니다. 여러 개체의 난소를 혼합 처리하는 일반적 IVP 방식과 구별되는, 품질과 평가 신뢰성의 근거입니다.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체외수정란 생산 5단계 (IETS 권장 절차)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19"/>
        <w:gridCol w:w="900"/>
        <w:gridCol w:w="6121"/>
      </w:tblGrid>
      <w:tr>
        <w:trPr>
          <w:tblHeader/>
        </w:trPr>
        <w:tc>
          <w:tcPr>
            <w:tcW w:type="dxa" w:w="261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612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작업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 난자 회수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0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개체별 난소의 각 난포에서 주사기로 난포액 흡인 → 현미경 하에서 피펫으로 난자(난구세포–난자 복합체) 선별 회수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체외성숙 · 체외수정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0~1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회수 난자를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3회 세척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후 성숙배지로 이송 → 약 1일(22~24시간) 체외성숙 →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성숙된 난자에 성감별 정액을 사용하여 체외수정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체외배양 · 사멸란 선별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2~5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2~3 난할(세포분열) 개시 확인 → Day 5 사멸·발육정지 배(胚)를 식별·제거하고 정상 발육 배만 계대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 배반포 선별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3~7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7 전후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배반포~확장배반포 단계 도달 개체만 선별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IETS 등급 기준 적용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스트로 장전 · 동결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7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스트로 1본 = 1수정란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장전 후 봉합 → 신선 이식 또는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-196℃ 액체질소 동결 보관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성감별 정액 사용 (2단계 수정 시점)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체외수정 시 암 정자 순도 90% 이상의 성감별 정액(Sexed semen)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사용합니다. 이 지점이 태어나는 송아지의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약 90%를 암송아지로 확보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결정 단계입니다. 부계 정액은 유전능력이 검증된 종모우로 선정하며, 정액 ID 단위로 이력을 관리하여 모계–부계 조합이 문서로 확인되도록 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⑤ 위생 처리 및 등급 판정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 IETS 표준 세척 절차(10회 연속 세척, 필요 시 트립신 처리)를 적용하여 병원체 전파 위험을 차단하고,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Grade 1 · 발육단계 6~7기(배반포~확장배반포)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만을 수출용으로 선별합니다.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⑥ 직접이식(Direct Transfer, DT) 동결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 현지 이식 편의성을 위해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에틸렌글리콜 기반 직접이식용 동결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표준으로 합니다. → 현장에서 별도 해빙·희석 장비 없이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37℃ 온수 해빙 후 즉시 이식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가능하여, 현지 인력의 기술 부담과 실패 위험을 크게 낮춥니다. (본 사업 성패의 실무적 핵심)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⑦ 표식 및 이력관리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 스트로 1본 = 1수정란 원칙. 스트로에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로트번호, 모계(난소 공여축) 개체번호, 부계 정액 ID, 생산일, 등급, 성별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인쇄하고, 동일 정보를 전자 대장 및 한국종축 개량협회 증명서와 대조 관리하여 이식 후 성적까지 개체 단위로 추적합니다.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2-2. 안전하게 이송하는 방법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수송 용기 — 드라이 쉬퍼(Dry Shipper)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액체질소를 흡착재에 흡수시킨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드라이 쉬퍼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사용합니다. 액체 질소가 유출되지 않아 항공 운송이 가능하며, 충전 상태에서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10~21일간 -196℃ 유지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가능해 통관 지연이 발생해도 안전 여유를 확보합니다. 예비 용기 1대를 함께 준비합니다.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온도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 용기 내부에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온도 데이터로거를 동봉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하여 출발~도착 전 구간의 온도 이력을 기록하고, 도착 즉시 현지 입회하에 판독·서명합니다. → 이송 품질을 객관 증빙으로 남깁니다.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검역 및 서류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67"/>
        <w:gridCol w:w="4773"/>
      </w:tblGrid>
      <w:tr>
        <w:trPr>
          <w:tblHeader/>
        </w:trPr>
        <w:tc>
          <w:tcPr>
            <w:tcW w:type="dxa" w:w="486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서류</w:t>
            </w:r>
          </w:p>
        </w:tc>
        <w:tc>
          <w:tcPr>
            <w:tcW w:type="dxa" w:w="47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발급/책임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수입허가서 (Import Permit)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대상국 정부 —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사전 확보 필수, 최장 리드타임 항목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수출검역증명서 / Health Certificate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농림축산검역본부(APQA)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수정란이식증명서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한국종축개량협회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혈통 3대 이상 등록 및 개체 확인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도축검사 결과 확인서 (난소 공여축)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도축장 검사관 / 생산기관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IETS 권장 절차 준수 확인서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생산기관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원산지증명서, Invoice, Packing List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수출자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개체별 수정란 명세(로트·모계 개체번호·부계 정액 ID)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생산기관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수입허가 조건(요구 검사항목)을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생산 착수 전에 확정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하여, 난소 공여축의 도축검사· 혈통 이력이 수입국 요건과 불일치하는 사태를 원천 차단합니다. 본 사업은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도축검사 통과 개체 + 한국종축개량협회 증명서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기본 구성으로 하므로, 검역 서류 대응력이 일반 수출 대비 유리합니다.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운송 경로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인천공항 → 카트만두(네팔) 직항 또는 경유 항공화물을 원칙으로 하되, 물량이 적거나 일정이 촉박한 경우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전문 인력 핸드캐리(수하물 동반)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병행합니다. 도착 공항에서는 통관 지연에 대비해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현지 액체질소 보충 대기 체계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사전에 준비합니다.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⑤ 절대 원칙</w:t>
      </w:r>
      <w:r>
        <w:rPr>
          <w:rFonts w:ascii="Malgun Gothic" w:cs="Malgun Gothic" w:eastAsia="Malgun Gothic" w:hAnsi="Malgun Gothic"/>
          <w:sz w:val="20"/>
          <w:szCs w:val="20"/>
        </w:rPr>
        <w:t xml:space="preserve"> 운송 중 용기 개봉 금지 · 눕히기 금지 · 세관 검사 시 반드시 수의 인력 입회.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2-3. 현장에서의 보관 방법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현지 보관 탱크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목장 또는 거점 사무소에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액체질소 보관탱크(35~50L급)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설치합니다. 도착 수정란은 드라이 쉬퍼에서 보관탱크로 즉시 이관하며, 이관 작업은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액면 위 노출 10초 이내</w:t>
      </w:r>
      <w:r>
        <w:rPr>
          <w:rFonts w:ascii="Malgun Gothic" w:cs="Malgun Gothic" w:eastAsia="Malgun Gothic" w:hAnsi="Malgun Gothic"/>
          <w:sz w:val="20"/>
          <w:szCs w:val="20"/>
        </w:rPr>
        <w:t xml:space="preserve"> 규칙을 적용합니다.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액체질소 공급망 확보 — 본 사업 최대 리스크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해외 사업에서 수정란 손실의 가장 큰 원인은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현지 액체질소 조달 실패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 따라서 착수 즉시 다음을 수행합니다.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현지 LN2 공급업체 2개소 이상 사전 확보(주 공급 + 예비)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1~2회 정기 보충 계약</w:t>
      </w:r>
      <w:r>
        <w:rPr>
          <w:rFonts w:ascii="Malgun Gothic" w:cs="Malgun Gothic" w:eastAsia="Malgun Gothic" w:hAnsi="Malgun Gothic"/>
          <w:sz w:val="20"/>
          <w:szCs w:val="20"/>
        </w:rPr>
        <w:t xml:space="preserve"> 체결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탱크 1대 상시 유지(이중화)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관리 SOP 및 기록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 1회 액위(液位) 점검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점검일지 기록(현지 담당자 서명)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캐니스터/고블렛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위치 배치도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작성 — 어떤 로트가 몇 번 캐니스터에 있는지 명시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정전·이동·운반 시 대응 절차서 비치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한국어/현지어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2개 국어 SOP 및 벽면 부착용 요약본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제공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점검 체계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현지 담당자 월간 보고(사진 포함) + 한국 측 원격 확인, 출장 시 실물 재고 대조.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 이식할 소(수란우) 선정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3-1. 사전 조사를 위한 출장 계획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이식 성적은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수정란 품질보다 수란우 상태에서 더 크게 좌우</w:t>
      </w:r>
      <w:r>
        <w:rPr>
          <w:rFonts w:ascii="Malgun Gothic" w:cs="Malgun Gothic" w:eastAsia="Malgun Gothic" w:hAnsi="Malgun Gothic"/>
          <w:sz w:val="20"/>
          <w:szCs w:val="20"/>
        </w:rPr>
        <w:t xml:space="preserve">됩니다. 따라서 이식 전 반드시 현장 실사 출장을 선행합니다.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95"/>
        <w:gridCol w:w="2708"/>
        <w:gridCol w:w="956"/>
        <w:gridCol w:w="4781"/>
      </w:tblGrid>
      <w:tr>
        <w:trPr>
          <w:tblHeader/>
        </w:trPr>
        <w:tc>
          <w:tcPr>
            <w:tcW w:type="dxa" w:w="119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차수</w:t>
            </w:r>
          </w:p>
        </w:tc>
        <w:tc>
          <w:tcPr>
            <w:tcW w:type="dxa" w:w="27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9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인원/기간</w:t>
            </w:r>
          </w:p>
        </w:tc>
        <w:tc>
          <w:tcPr>
            <w:tcW w:type="dxa" w:w="478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목적</w:t>
            </w:r>
          </w:p>
        </w:tc>
      </w:tr>
      <w:tr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(사전조사)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착수 후 1~2개월</w:t>
            </w:r>
          </w:p>
        </w:tc>
        <w:tc>
          <w:tcPr>
            <w:tcW w:type="dxa" w:w="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2명 / 5일</w:t>
            </w:r>
          </w:p>
        </w:tc>
        <w:tc>
          <w:tcPr>
            <w:tcW w:type="dxa" w:w="47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 목장 실사,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미경산 처녀소(15~18개월령) 후보군 두수·품종·체격 실측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LN2 인프라 조사, 현지 수의 인력 평가</w:t>
            </w:r>
          </w:p>
        </w:tc>
      </w:tr>
      <w:tr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2차 (기반구축)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착수 후 4~5개월</w:t>
            </w:r>
          </w:p>
        </w:tc>
        <w:tc>
          <w:tcPr>
            <w:tcW w:type="dxa" w:w="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2명 / 7일</w:t>
            </w:r>
          </w:p>
        </w:tc>
        <w:tc>
          <w:tcPr>
            <w:tcW w:type="dxa" w:w="47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탱크 설치, SOP 교육, 발정동기화 약품 조달 경로 확정, 현지 수의사 실습</w:t>
            </w:r>
          </w:p>
        </w:tc>
      </w:tr>
      <w:tr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3차 이후 (이식)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 2~3회</w:t>
            </w:r>
          </w:p>
        </w:tc>
        <w:tc>
          <w:tcPr>
            <w:tcW w:type="dxa" w:w="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2~3명 / 10일</w:t>
            </w:r>
          </w:p>
        </w:tc>
        <w:tc>
          <w:tcPr>
            <w:tcW w:type="dxa" w:w="47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 선발 → 동기화 → 이식(회당 50~90두) → 임신감정</w:t>
            </w:r>
          </w:p>
        </w:tc>
      </w:tr>
      <w:tr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연차 평가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 연도 말 (이식 출장과 병행 가능)</w:t>
            </w:r>
          </w:p>
        </w:tc>
        <w:tc>
          <w:tcPr>
            <w:tcW w:type="dxa" w:w="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2명 / 5일</w:t>
            </w:r>
          </w:p>
        </w:tc>
        <w:tc>
          <w:tcPr>
            <w:tcW w:type="dxa" w:w="47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성적 검증, 차년도 계획 수립, 기술이전 평가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4년간 총 10~12회 출장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계획합니다. (연차별 세부 일정은 부록 A 참조) 이식 출장 1회당 50~90두를 처리하며, 발정동기화 그룹 단위로 일정을 편성해 출장 횟수를 최소화하면서도 이식 적기를 놓치지 않도록 설계했습니다.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3-2. 현장 방문으로 소 상태를 먼저 확인하는 작업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이식 출장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"도착 즉시 이식"은 하지 않습니다.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아래 단계를 반드시 거칩니다.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[0단계] 대리모(수란우) 기본 요건 — 국제 통용 기준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사업의 대리모는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미경산 처녀소(Virgin Heifer)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대상으로 합니다. 이는 수정란 이식에서 국제적으로 통용되는 기준으로, 번식장애 이력·자궁 질환·유량 스트레스가 없어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가장 안정적인 수태율을 기대할 수 있는 개체군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이기 때문입니다.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593"/>
        <w:gridCol w:w="5147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요건</w:t>
            </w:r>
          </w:p>
        </w:tc>
        <w:tc>
          <w:tcPr>
            <w:tcW w:type="dxa" w:w="359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514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번식 상태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미경산 처녀소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(분만·수정 경험 없음)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자궁 환경 청정, 번식장애 이력 배제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월령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15~18개월령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생식기 발육 완료 + 이식 적기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품종·체격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홀스타인 또는 홀스타인 교잡종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 홀스타인 암송아지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분만체중 약 40kg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감당할 체격 필요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가임성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난소·자궁에 이상이 없는 가임 암소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성립의 필수 조건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체형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BCS(체형점수) 정상 범위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과비·과수척 제외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과비 시 수태율 저하, 난산 위험 증가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외관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신체 이상 없음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지제·체표 이상 개체 제외</w:t>
            </w:r>
          </w:p>
        </w:tc>
      </w:tr>
    </w:tbl>
    <w:p>
      <w:pPr>
        <w:spacing w:after="140"/>
      </w:pP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체격 요건에 대한 중요 안내: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한국 홀스타인 암송아지의 평균 분만체중이 약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40kg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 이르므로, 체격이 작은 현지 재래종·소형 품종을 대리모로 사용할 경우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난산 및 모체·송아지 손실 위험이 매우 높습니다.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따라서 대리모는 반드시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홀스타인 또는 홀스타인 교잡종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한정하며, 참고 체중 기준은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약 350kg 이상(성숙체중의 55~60% 도달)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을 권장합니다. </w:t>
      </w: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(현지 사육 품종 및 발육 수준은 1차 사전조사 출장에서 실측 후 확정합니다.)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[1단계] 개체 실사 및 1차 선발 (이식 D-14)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위 기본 요건을 충족하는 후보축에 대해 육안·촉진으로 다음을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월령 및 미경산 여부 확인(치아·기록·개체 표식 대조)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품종 및 체격 확인 — 체중·체고 실측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BCS 정상 범위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확인 — 과비·과수척 개체 제외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파행(지제 이상), 설사, 호흡기 증상, 체표 병변 등 임상 이상 개체 제외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백신 접종 이력 및 질병 청정 확인(브루셀라·결핵 등 대상국 요구 항목)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[2단계] 생식기 정밀 검사 — 가임성 확인 (D-14)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직장검사 및 초음파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난소·자궁을 개체별로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자궁: 발육 정상, 기형·염증·잔류물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난소: 정상 난포 발육 또는 황체 존재 = 발정 순환 중(cycling)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임을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난소 발육 부전(미성숙), 난소정지, 난포낭종 개체는 제외 또는 재평가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프리마틴(Freemartin) 등 생식기 기형 의심 개체 제외</w:t>
      </w: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미경산우는 경산우 대비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자궁경관 통과가 어려울 수 있으므로</w:t>
      </w:r>
      <w:r>
        <w:rPr>
          <w:rFonts w:ascii="Malgun Gothic" w:cs="Malgun Gothic" w:eastAsia="Malgun Gothic" w:hAnsi="Malgun Gothic"/>
          <w:sz w:val="19"/>
          <w:szCs w:val="19"/>
        </w:rPr>
        <w:t xml:space="preserve">, 이식은 숙련 시술자가 담당하고 현지 인력 교육 시 이 부분을 집중 실습 항목으로 편성합니다.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[3단계] 사양관리 환경 평가 (D-14)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사료 급여 수준(에너지·단백질), 물통 접근성, 그늘·환기(열 스트레스), 축사 바닥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이식 전후 영양 수준이 유지되지 않으면 수태율이 급락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하므로, 목장주와 이식군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별도 관리(전용 사료 프로그램) 를 서면 합의합니다.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[4단계] 발정 동기화 (D-10 ~ D0)</w:t>
      </w:r>
      <w:r>
        <w:rPr>
          <w:rFonts w:ascii="Malgun Gothic" w:cs="Malgun Gothic" w:eastAsia="Malgun Gothic" w:hAnsi="Malgun Gothic"/>
          <w:sz w:val="20"/>
          <w:szCs w:val="20"/>
        </w:rPr>
        <w:t xml:space="preserve"> CIDR + GnRH + PGF2α 병용 프로토콜(정시 이식용)을 적용하여 이식 일정을 집중시킵니다.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[5단계] 이식 당일 최종 확인 (D7, 발정 후 7일)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이식 직전 초장 검사로 황체(CL)를 반드시 확인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하고, 황체가 양호한 개체에만 황체 존재 측(동측) 자궁각에 이식합니다. → 황체 미확인 개체는 이식하지 않습니다. 이 원칙이 수태율 방어의 핵심입니다.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[6단계] 임신감정 (D30 / D60)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D30: 초음파 임신감정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D60: 직장검사 재확인(조기 배 손실 반영)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공식 성과지표는 D60 기준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산정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3-3. 사업기간 4년 동안의 이식 개체 수 예상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사업기간 4년 동안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500두 이식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계획합니다. 이는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사업예산에 맞추어 확정한 수치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이며, 초과 이식은 계획하지 않습니다.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연차별로는 1차년도를 기반 구축 및 시범이식 기간으로 두고, 현지 기술 숙련도에 맞추어 단계적으로 확대합니다.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92"/>
        <w:gridCol w:w="1273"/>
        <w:gridCol w:w="1273"/>
        <w:gridCol w:w="1273"/>
        <w:gridCol w:w="1273"/>
        <w:gridCol w:w="1456"/>
      </w:tblGrid>
      <w:tr>
        <w:trPr>
          <w:tblHeader/>
        </w:trPr>
        <w:tc>
          <w:tcPr>
            <w:tcW w:type="dxa" w:w="30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2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1차년도</w:t>
            </w:r>
          </w:p>
        </w:tc>
        <w:tc>
          <w:tcPr>
            <w:tcW w:type="dxa" w:w="12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2차년도</w:t>
            </w:r>
          </w:p>
        </w:tc>
        <w:tc>
          <w:tcPr>
            <w:tcW w:type="dxa" w:w="12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3차년도</w:t>
            </w:r>
          </w:p>
        </w:tc>
        <w:tc>
          <w:tcPr>
            <w:tcW w:type="dxa" w:w="12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4차년도</w:t>
            </w:r>
          </w:p>
        </w:tc>
        <w:tc>
          <w:tcPr>
            <w:tcW w:type="dxa" w:w="14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공급 수정란(개)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140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175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210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585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두수(두)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180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목표 수태율(D60)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45%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50%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55%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58%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54%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예상 임신 두수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83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104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270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예상 분만 두수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54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75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94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244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예상 암송아지(두)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49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67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85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220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산정 근거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1차년도(50두)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액체질소 인프라 구축, 현지 인력 교육, 대리모 후보군 확보를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선행해야 하므로 시범이식 규모로 설정.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수태율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국내 실적(약 60%)보다 보수적으로 1차년도 45%에서 출발하여, 현지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인력의 숙련도 향상과 사양관리 개선을 반영해 최종연도 58%까지 상향.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분만율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임신 대비 90% (조기 배 손실·유산 반영).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암송아지 비율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성감별 정액 정확도 90% 적용.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공급 수정란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이식 두수 대비 약 15% 여유분(해빙 손실·예비 물량) 포함.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연차별 배분은 현지 대리모 파악 후 확정</w:t>
      </w:r>
    </w:p>
    <w:p>
      <w:pPr>
        <w:pBdr>
          <w:left w:val="single" w:color="1F4E79" w:sz="18" w:space="8"/>
        </w:pBdr>
        <w:shd w:fill="F2F6FA" w:color="auto" w:val="clear"/>
        <w:spacing w:after="40" w:before="100" w:line="290"/>
        <w:ind w:left="280" w:right="1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총 500두는 예산에 따라 확정된 수치이나, 실제 이식은 현지 대리모를 파악한 후에야 가능합니다.</w:t>
      </w:r>
    </w:p>
    <w:p>
      <w:pPr>
        <w:pBdr>
          <w:left w:val="single" w:color="1F4E79" w:sz="18" w:space="8"/>
        </w:pBdr>
        <w:shd w:fill="F2F6FA" w:color="auto" w:val="clear"/>
        <w:spacing w:after="40" w:before="4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이식은 적격한 대리모가 있어야 성립하므로,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1차 사전조사 출장에서 현지의 미경산 처녀소(홀스타인계, 15~18개월령) 보유 두수·품종·체격을 실측</w:t>
      </w:r>
      <w:r>
        <w:rPr>
          <w:rFonts w:ascii="Malgun Gothic" w:cs="Malgun Gothic" w:eastAsia="Malgun Gothic" w:hAnsi="Malgun Gothic"/>
          <w:sz w:val="19"/>
          <w:szCs w:val="19"/>
        </w:rPr>
        <w:t xml:space="preserve">한 뒤 위 연차별 배분(50 / 120 / 150 / 180두)을 확정합니다.</w:t>
      </w:r>
    </w:p>
    <w:p>
      <w:pPr>
        <w:pBdr>
          <w:left w:val="single" w:color="1F4E79" w:sz="18" w:space="8"/>
        </w:pBdr>
        <w:shd w:fill="F2F6FA" w:color="auto" w:val="clear"/>
        <w:spacing w:after="160" w:before="4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사전조사 결과 특정 연도의 대리모 확보가 부족할 경우,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총 500두는 유지한 채 연차 간 배분만 조정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하여 사업기간 내 목표를 달성합니다.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4. 평가와 성과지표(KPI) 아이디어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지표 체계는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산출(Output) – 성과(Outcome) – 영향(Impact)</w:t>
      </w:r>
      <w:r>
        <w:rPr>
          <w:rFonts w:ascii="Malgun Gothic" w:cs="Malgun Gothic" w:eastAsia="Malgun Gothic" w:hAnsi="Malgun Gothic"/>
          <w:sz w:val="20"/>
          <w:szCs w:val="20"/>
        </w:rPr>
        <w:t xml:space="preserve"> 3단계로 구성하여 ODA 성과관리 양식(PDM 등)에 그대로 옮겨 넣을 수 있도록 설계했습니다. 사업 목적인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낙농 생산성 향상 및 가치사슬 개선을 통한 빈곤 감소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연결되도록 영향지표에 농가 소득 항목을 포함했습니다.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4-1. 3단계 지표 체계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산출지표 (Output) — 사업 활동의 직접 결과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56"/>
        <w:gridCol w:w="3084"/>
        <w:gridCol w:w="2700"/>
      </w:tblGrid>
      <w:tr>
        <w:trPr>
          <w:tblHeader/>
        </w:trPr>
        <w:tc>
          <w:tcPr>
            <w:tcW w:type="dxa" w:w="38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08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4년 목표</w:t>
            </w:r>
          </w:p>
        </w:tc>
        <w:tc>
          <w:tcPr>
            <w:tcW w:type="dxa" w:w="2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공급 개수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585개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수출검역증명서·인수증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시술 두수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500두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개체별 이식카드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수의사·기술인력 교육 수료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10명 이상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수료증, 교육일지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기술지원 출장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10~12회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출장보고서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표준작업지침(SOP)·매뉴얼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8종 (2개 국어)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산출물 (부록 C)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액체질소 보관 거점 구축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1~2개소 (주 거점 + 백업)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설치 확인서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성과지표 (Outcome) — 사업의 실질 효과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56"/>
        <w:gridCol w:w="2892"/>
        <w:gridCol w:w="2892"/>
      </w:tblGrid>
      <w:tr>
        <w:trPr>
          <w:tblHeader/>
        </w:trPr>
        <w:tc>
          <w:tcPr>
            <w:tcW w:type="dxa" w:w="38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8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4년 목표</w:t>
            </w:r>
          </w:p>
        </w:tc>
        <w:tc>
          <w:tcPr>
            <w:tcW w:type="dxa" w:w="28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수태율 (D60 기준)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50% 이상, 최종연도 58%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초음파·직장검사, 제3자 입회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분만율 (임신 대비)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90% 이상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분만기록부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암송아지 생산 두수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220두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 등록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암송아지 비율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88% 이상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 성별 집계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송아지 6개월령 생존율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90% 이상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 추적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인력 단독 이식 비율(기술이전율)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최종연도 70% 이상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시술자 기록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이송 중 손실률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1% 미만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온도로거·인수검수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영향지표 (Impact) — 사업 종료 후 지속 효과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2"/>
        <w:gridCol w:w="4259"/>
        <w:gridCol w:w="2579"/>
      </w:tblGrid>
      <w:tr>
        <w:trPr>
          <w:tblHeader/>
        </w:trPr>
        <w:tc>
          <w:tcPr>
            <w:tcW w:type="dxa" w:w="280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425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257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생산 암소의 유전능력 개선</w:t>
            </w:r>
          </w:p>
        </w:tc>
        <w:tc>
          <w:tcPr>
            <w:tcW w:type="dxa" w:w="4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평균 대비 산유능력 향상</w:t>
            </w:r>
          </w:p>
        </w:tc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후대 검정, 사업 후 검증</w:t>
            </w:r>
          </w:p>
        </w:tc>
      </w:tr>
      <w:tr>
        <w:tc>
          <w:tcPr>
            <w:tcW w:type="dxa" w:w="2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 목장 소득 개선</w:t>
            </w:r>
          </w:p>
        </w:tc>
        <w:tc>
          <w:tcPr>
            <w:tcW w:type="dxa" w:w="4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정량 산정</w:t>
            </w:r>
          </w:p>
        </w:tc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사업 종료 시점 조사</w:t>
            </w:r>
          </w:p>
        </w:tc>
      </w:tr>
      <w:tr>
        <w:tc>
          <w:tcPr>
            <w:tcW w:type="dxa" w:w="2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자립 ET 체계 구축</w:t>
            </w:r>
          </w:p>
        </w:tc>
        <w:tc>
          <w:tcPr>
            <w:tcW w:type="dxa" w:w="4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인력·장비·SOP 이관 완료</w:t>
            </w:r>
          </w:p>
        </w:tc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지속가능성 평가</w:t>
            </w:r>
          </w:p>
        </w:tc>
      </w:tr>
      <w:tr>
        <w:tc>
          <w:tcPr>
            <w:tcW w:type="dxa" w:w="2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후속 사업 연계</w:t>
            </w:r>
          </w:p>
        </w:tc>
        <w:tc>
          <w:tcPr>
            <w:tcW w:type="dxa" w:w="4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확대 사업 또는 국가 유전개량 정책 반영</w:t>
            </w:r>
          </w:p>
        </w:tc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정성 평가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4-2. 평가 신뢰성 확보 방안 (차별화 포인트)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개체 단위 완전 이력관리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이식 1건마다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[모계(난소 공여축) 개체번호 – 부계 정액 ID – 로트번호 – 수란우 ID – 시술자 – 일시 – 황체 상태 – 임신감정 결과 – 분만일 – 송아지 성별]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연결한 이식카드를 작성합니다. → 성적을 "평균"이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개체별로 추적·검증 가능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하게 만듭니다.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디지털 검증 (Eco-BIT / CowTalk AI 연계)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보유 중인 축산 데이터 플랫폼을 활용하여 이식·임신감정 기록을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사진·GPS·타임스탬프와 함께 등록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합니다. → 사후 보고서가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실시간 검증 가능한 데이터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평가받는 구조이며, 발주처가 언제든 진척을 조회할 수 있습니다. 필요 시 반추위 센서를 활용한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수란우 발정·건강 모니터링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수태율을 추가 개선하는 옵션도 제안 가능합니다.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(파일럿 적용 항목 — 별도 협의)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제3자 입회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임신감정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대상국 정부기관 또는 현지 대학 수의 인력 입회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원칙으로 하여, 성과 수치의 객관성을 확보합니다.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평가 주기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월간: 이식·임신감정 진척 보고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반기: 수태율 중간점검 및 프로토콜 보정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연차: 연차 성과 평가회의 및 차년도 목표 재설정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종료: 최종 성과보고 + 기술이전 완료 확인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4-3. 위험요인 및 대응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82"/>
        <w:gridCol w:w="1928"/>
        <w:gridCol w:w="5030"/>
      </w:tblGrid>
      <w:tr>
        <w:trPr>
          <w:tblHeader/>
        </w:trPr>
        <w:tc>
          <w:tcPr>
            <w:tcW w:type="dxa" w:w="268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위험요인</w:t>
            </w:r>
          </w:p>
        </w:tc>
        <w:tc>
          <w:tcPr>
            <w:tcW w:type="dxa" w:w="192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503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액체질소 조달 중단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전량 손실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공급처 2개소 이상, 백업 탱크, 월 정기보충 계약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적격 미경산 처녀소 부족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목표 미달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사전조사 단계에서 후보군 1.5배 확보, 대상 목장 다변화, 육성우 사양개선 선행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대리모 체격 부족(현지 소형 품종)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난산·모체 손실 위험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홀스타인계로 품종 한정, 체중 기준 미달 개체 제외, 부족 시 육성우 사양개선 후 재평가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카트만두–신둘리 5시간 이동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LN2 보충·자재 수급 지연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신둘리 현지 보관거점 확보, 월 정기 보충 일정 고정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수입허가 지연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사업 일정 지연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착수 즉시 허가 절차 개시, 요구 검사항목 사전 확정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사양관리 미흡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수태율 저하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이식군 전용 사양 프로그램 서면 합의, 미충족 목장 제외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열 스트레스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계절적 수태율 저하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혹서기 회피 일정 편성, 그늘·환기 개선 선행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기술 미숙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시술 실패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직접이식(DT) 동결 채택 + 단계별 실습 인증제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5. 결론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ET 파트는 다음 4개 축으로 구성됩니다.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이력이 증명되는 수정란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도축검사 통과 개체 + 혈통 3대 이상 등록 + 한국종축 개량협회 수정란이식증명서 + 개체별 넘버링 배양으로, 모든 수정란의 출처가 서류로 확인됩니다.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손실 없는 이송·보관 체계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드라이 쉬퍼 + 온도로거 + 현지 액체질소 이중 공급망.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국제 기준에 부합하는 대리모 선발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미경산 처녀소(15~18개월령, 홀스타인계)를 현장 실사·초음파 검사로 선발하여 수태율과 분만 안전성을 동시에 확보합니다.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개체 단위 데이터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이식카드 및 디지털 플랫폼으로 성과를 실시간 검증합니다.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사업기간 4년간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500두 이식 · 약 220두 암송아지 생산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목표로 하며, 사업 종료 시점에는 현지가 스스로 ET를 수행할 수 있는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자립 체계 이관</w:t>
      </w:r>
      <w:r>
        <w:rPr>
          <w:rFonts w:ascii="Malgun Gothic" w:cs="Malgun Gothic" w:eastAsia="Malgun Gothic" w:hAnsi="Malgun Gothic"/>
          <w:sz w:val="20"/>
          <w:szCs w:val="20"/>
        </w:rPr>
        <w:t xml:space="preserve">까지 완료하는 것을 최종 목표로 합니다.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</w:t>
      </w: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부록 A. 4년 연차별 실행 로드맵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23"/>
        <w:gridCol w:w="7817"/>
      </w:tblGrid>
      <w:tr>
        <w:trPr>
          <w:tblHeader/>
        </w:trPr>
        <w:tc>
          <w:tcPr>
            <w:tcW w:type="dxa" w:w="182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78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활동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1차년도 상반기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수입허가 절차 개시, 도축장 난소 확보 체계 구축(개체별 넘버링·혈통 확인·종축개량협회 증명서), 사전조사 출장(1차), 대상 목장 선정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1차년도 하반기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LN2 탱크 설치·공급계약, SOP 교육(2차 출장), 1차 수정란 이송,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시범이식 50두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2차년도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120두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현지 수의사 실습 확대, 1차년도 분만 성적 확인, 프로토콜 보정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3차년도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150두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현지 인력 단독 시술 비중 확대, 중간 성과평가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4차년도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180두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기술이전 완료 검증, 최종 성과보고, 사후 관리체계 이관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부록 B. 이식 프로토콜 요약 (미경산 처녀소 정시 이식 기준)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34"/>
        <w:gridCol w:w="8506"/>
      </w:tblGrid>
      <w:tr>
        <w:trPr>
          <w:tblHeader/>
        </w:trPr>
        <w:tc>
          <w:tcPr>
            <w:tcW w:type="dxa" w:w="113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850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D-14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 실사(월령·미경산 여부·품종·체중·BCS), 직장검사·초음파로 난소·자궁 가임성 확인, 1차 선발, 사양관리 점검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D-10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CIDR 삽입 + GnRH 투여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D-3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PGF2α 투여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D-2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CIDR 제거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D-1 ~ D0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발정 관찰 / GnRH 투여 (정시 프로그램)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D7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황체 확인 후 동측 자궁각 이식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(37℃ 해빙, 직접이식) — 미경산우 자궁경관 통과는 숙련 시술자가 담당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D30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초음파 임신감정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D60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직장검사 재확인 — 공식 성과 산정 기준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 시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분만일·성별·생시체중 기록, 분만 난이도 기록, 송아지 개체 등록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부록 C. 제공 산출물 목록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도축장 난소 확보·개체별 넘버링 SOP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(혈통 확인 및 종축개량협회 증명서 연계)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체외수정란(IVP) 생산·품질관리 SOP — IETS 권장 절차 기준 (한/현지어)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수정란 이송·통관 절차서 및 검역서류 세트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액체질소 탱크 관리 SOP + 벽면 부착용 요약본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대리모(미경산 처녀소) 선발 체크리스트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이식카드 양식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발정동기화·이식 프로토콜 매뉴얼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현지 수의사 교육 커리큘럼 및 실습 인증 기준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월간·연차 성과보고 양식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취합 담당자 확인 요청 사항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ET 실행기간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사업기간은 2026~2030(5년)이나 요청은 "4년간 이식 두수"였습니다. 1차년도가 시설구축 위주여서 ET 실행이 4년인 것으로 보고 작성했습니다. 확정 부탁드립니다.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사업예산 중 ET 파트 배정액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본 제안은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500두 기준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작성했으며, 배정액 확정 시 수정란 단가·출장비·소모품비 세부 산출표를 제출하겠습니다.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신둘리 카말라마이시 대상 목장 수 및 미경산 처녀소(홀스타인계, 15~18개월령) 보유 두수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연차별 이식 배분을 확정하는 데 반드시 필요한 정보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 네팔은 물소·재래종 비중이 높고 홀스타인 교잡종(HF cross)이 혼재하므로,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대리모로 쓸 수 있는 체격의 개체가 실제로 몇 두인지가 본 파트의 최대 변수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 2026.04 예비조사 자료에 축우 품종·두수 정보가 있다면 공유 부탁드립니다.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발주처 요구 성과관리 양식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확정 양식을 주시면 4장 KPI를 해당 칸(지표· 측정수단·전제조건)에 맞춰 재배치해 드리겠습니다. 수원국 역량강화 지표(현지 인력 단독 이식 비율)와 지속가능성 지표는 이미 반영해 두었습니다.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반추위 센서(CowTalk) 연계 포함 여부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포함 시 별도 1장 추가 작성 가능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네팔 신둘리 낙농사업 PMC · ET 파트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color w:val="1F4E79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680" w:hanging="200"/>
      </w:pPr>
      <w:rPr>
        <w:color w:val="1F4E79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2026-08-01T00:13:16.569Z</dcterms:created>
  <dcterms:modified xsi:type="dcterms:W3CDTF">2026-08-01T00:13:16.569Z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