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rFonts w:ascii="Arial" w:hAnsi="Arial" w:eastAsia="Arial"/>
          <w:b/>
          <w:i w:val="0"/>
          <w:sz w:val="28"/>
        </w:rPr>
        <w:t>Animal Welfare and AI in Cattle</w:t>
      </w:r>
    </w:p>
    <w:p>
      <w:pPr>
        <w:spacing w:after="20" w:before="0" w:line="240" w:lineRule="auto"/>
        <w:jc w:val="center"/>
      </w:pPr>
      <w:r>
        <w:rPr>
          <w:rFonts w:ascii="Arial" w:hAnsi="Arial" w:eastAsia="Arial"/>
          <w:b/>
          <w:i w:val="0"/>
          <w:sz w:val="24"/>
        </w:rPr>
        <w:t>HyunJae Ha</w:t>
      </w:r>
    </w:p>
    <w:p>
      <w:pPr>
        <w:spacing w:after="20" w:before="0" w:line="240" w:lineRule="auto"/>
        <w:jc w:val="center"/>
      </w:pPr>
      <w:r>
        <w:rPr>
          <w:rFonts w:ascii="Arial" w:hAnsi="Arial" w:eastAsia="Arial"/>
          <w:b w:val="0"/>
          <w:i/>
          <w:sz w:val="22"/>
        </w:rPr>
        <w:t>Korea Animal Clinic; D2O Co., Ltd., Republic of Korea</w:t>
      </w:r>
    </w:p>
    <w:p>
      <w:pPr>
        <w:spacing w:after="160" w:before="0" w:line="240" w:lineRule="auto"/>
        <w:jc w:val="center"/>
      </w:pPr>
      <w:r>
        <w:rPr>
          <w:rFonts w:ascii="Arial" w:hAnsi="Arial" w:eastAsia="Arial"/>
          <w:b w:val="0"/>
          <w:i w:val="0"/>
          <w:sz w:val="21"/>
        </w:rPr>
        <w:t>E-mail: hhj3150@hanmail.net</w:t>
      </w:r>
    </w:p>
    <w:p>
      <w:pPr>
        <w:spacing w:after="80" w:before="0" w:line="240" w:lineRule="auto"/>
      </w:pPr>
      <w:r>
        <w:rPr>
          <w:rFonts w:ascii="Arial" w:hAnsi="Arial" w:eastAsia="Arial"/>
          <w:b/>
          <w:i w:val="0"/>
          <w:sz w:val="24"/>
        </w:rPr>
        <w:t>Abstracts</w:t>
      </w:r>
    </w:p>
    <w:p>
      <w:pPr>
        <w:spacing w:after="100" w:line="240" w:lineRule="auto"/>
      </w:pPr>
      <w:r>
        <w:rPr>
          <w:rFonts w:ascii="Arial" w:hAnsi="Arial"/>
          <w:b/>
          <w:sz w:val="21"/>
        </w:rPr>
        <w:t xml:space="preserve">Do you know what your cows are telling you? </w:t>
      </w:r>
      <w:r>
        <w:rPr>
          <w:rFonts w:ascii="Arial" w:hAnsi="Arial"/>
          <w:sz w:val="21"/>
        </w:rPr>
        <w:t>Animal welfare is traditionally assessed through periodic observation, clinical examination, production records, and farm-level audits. These approaches remain essential, but they provide only intermittent views of an animal whose physiological and behavioral state changes continuously. A central challenge for modern cattle welfare is therefore how to recognize welfare compromise earlier and at the level of the individual animal.</w:t>
      </w:r>
    </w:p>
    <w:p>
      <w:pPr>
        <w:spacing w:after="100" w:before="0" w:line="240" w:lineRule="auto"/>
      </w:pPr>
      <w:r>
        <w:rPr>
          <w:rFonts w:ascii="Arial" w:hAnsi="Arial" w:eastAsia="Arial"/>
          <w:b w:val="0"/>
          <w:i w:val="0"/>
          <w:sz w:val="21"/>
        </w:rPr>
        <w:t>The Five Domains framework emphasizes nutrition, physical environment, health, behavioral interactions, and the resulting mental state. Many welfare-relevant disturbances in these domains are accompanied by measurable physiological or behavioral changes before obvious clinical signs become visible. Continuous biosensing can therefore complement conventional welfare assessment by extending observation across the full day rather than replacing direct examination.</w:t>
      </w:r>
    </w:p>
    <w:p>
      <w:pPr>
        <w:spacing w:after="100" w:before="0" w:line="240" w:lineRule="auto"/>
      </w:pPr>
      <w:r>
        <w:rPr>
          <w:rFonts w:ascii="Arial" w:hAnsi="Arial" w:eastAsia="Arial"/>
          <w:b w:val="0"/>
          <w:i w:val="0"/>
          <w:sz w:val="21"/>
        </w:rPr>
        <w:t>In our approach, the commercially available smaXtec rumen bolus is used as the sensing layer. It continuously measures internal body temperature, rumination, activity, and drinking-related variables from within the cow. These data are treated as biological signals rather than as a diagnosis or a complete welfare score.</w:t>
      </w:r>
    </w:p>
    <w:p>
      <w:pPr>
        <w:spacing w:after="100" w:before="0" w:line="240" w:lineRule="auto"/>
      </w:pPr>
      <w:r>
        <w:rPr>
          <w:rFonts w:ascii="Arial" w:hAnsi="Arial" w:eastAsia="Arial"/>
          <w:b w:val="0"/>
          <w:i w:val="0"/>
          <w:sz w:val="21"/>
        </w:rPr>
        <w:t>On top of this sensing layer, I developed CowTalk, an AI-based livestock digital operating system. CowTalk is designed to integrate sensor-derived signals with clinical, reproductive, feeding, environmental, herd-management, and relevant public data. Its purpose is to organize changes around the individual cow, identify animals requiring attention, and translate complex data into context that veterinarians and farmers can use for timely decisions. The workflow can be summarized as Sense → Understand → Act → Learn: smaXtec senses, CowTalk integrates and interprets, veterinarians and farmers decide and act, and subsequent outcomes return as new information.</w:t>
      </w:r>
    </w:p>
    <w:p>
      <w:pPr>
        <w:spacing w:after="100" w:before="0" w:line="240" w:lineRule="auto"/>
      </w:pPr>
      <w:r>
        <w:rPr>
          <w:rFonts w:ascii="Arial" w:hAnsi="Arial" w:eastAsia="Arial"/>
          <w:b w:val="0"/>
          <w:i w:val="0"/>
          <w:sz w:val="21"/>
        </w:rPr>
        <w:t>From an animal-welfare perspective, the value of AI is not autonomous diagnosis. Its value is continuous attention. Earlier recognition of changes associated with disease, heat stress, altered intake or rumination, reproductive events, and other welfare-relevant conditions may create an opportunity for earlier examination and intervention. The veterinarian remains responsible for clinical interpretation, diagnosis, treatment, and welfare decisions.</w:t>
      </w:r>
    </w:p>
    <w:p>
      <w:pPr>
        <w:spacing w:after="100" w:before="0" w:line="240" w:lineRule="auto"/>
      </w:pPr>
      <w:r>
        <w:rPr>
          <w:rFonts w:ascii="Arial" w:hAnsi="Arial" w:eastAsia="Arial"/>
          <w:b w:val="0"/>
          <w:i w:val="0"/>
          <w:sz w:val="21"/>
        </w:rPr>
        <w:t>This concept also allows welfare monitoring to move from a single animal to herd and population levels. Aggregated, appropriately governed data may help identify recurring welfare risks, compare patterns among herds, and support regional surveillance. The long-term objective is a transition from periodic welfare assessment toward continuous, animal-centered welfare monitoring—using AI not to replace human care, but to help us listen more consistently to what each cow is already telling us.</w:t>
      </w:r>
    </w:p>
    <w:p>
      <w:pPr>
        <w:spacing w:after="0" w:before="60" w:line="240" w:lineRule="auto"/>
      </w:pPr>
      <w:r>
        <w:rPr>
          <w:rFonts w:ascii="Arial" w:hAnsi="Arial" w:eastAsia="Arial"/>
          <w:b w:val="0"/>
          <w:i/>
          <w:sz w:val="19"/>
        </w:rPr>
        <w:t>Disclosure Statement: The author is affiliated with D2O Co., Ltd., developer of CowTalk. D2O distributes smaXtec systems in Korea.</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