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맑은 고딕" w:hAnsi="맑은 고딕" w:eastAsia="맑은 고딕"/>
          <w:b/>
          <w:color w:val="0B2545"/>
          <w:sz w:val="34"/>
        </w:rPr>
        <w:t>한국 홀스타인 성감별 수정란이식 사업 — 개요</w:t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color w:val="555555"/>
          <w:sz w:val="20"/>
        </w:rPr>
        <w:t>Korean Holstein Sexed Embryo Transfer Business — Overview</w:t>
      </w:r>
    </w:p>
    <w:p>
      <w:pPr>
        <w:spacing w:after="160"/>
        <w:pBdr>
          <w:bottom w:val="single" w:sz="12" w:space="1" w:color="0B2545"/>
        </w:pBdr>
      </w:pPr>
    </w:p>
    <w:p>
      <w:pPr>
        <w:spacing w:before="220" w:after="60"/>
      </w:pPr>
      <w:r>
        <w:rPr>
          <w:rFonts w:ascii="맑은 고딕" w:hAnsi="맑은 고딕" w:eastAsia="맑은 고딕"/>
          <w:b/>
          <w:color w:val="0B2545"/>
          <w:sz w:val="25"/>
        </w:rPr>
        <w:t>1. 사업 개요</w:t>
      </w:r>
    </w:p>
    <w:p>
      <w:pPr>
        <w:spacing w:after="120"/>
      </w:pPr>
      <w:r>
        <w:rPr>
          <w:rFonts w:ascii="맑은 고딕" w:hAnsi="맑은 고딕" w:eastAsia="맑은 고딕"/>
          <w:b/>
          <w:sz w:val="21"/>
        </w:rPr>
        <w:t>검증된 유전능력의 한국 홀스타인 암송아지를, 성감별 동결수정란 이식으로 현지에서 태어나게 하는 낙농 개량 사업. 소를 수입하는 것이 아니라 우수 유전자를 이식해 현지 소가 우수 송아지를 낳게 한다.</w:t>
      </w:r>
    </w:p>
    <w:p>
      <w:pPr>
        <w:spacing w:before="220" w:after="60"/>
      </w:pPr>
      <w:r>
        <w:rPr>
          <w:rFonts w:ascii="맑은 고딕" w:hAnsi="맑은 고딕" w:eastAsia="맑은 고딕"/>
          <w:b/>
          <w:color w:val="0B2545"/>
          <w:sz w:val="25"/>
        </w:rPr>
        <w:t>2. 한국 홀스타인의 강점 (유전능력)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한국 낙농은 정부 주도의 집중적 투자로 육성 — 국가 유전 개량 체계(검정·후대검정·유전체 선발)로 홀스타인 유전능력을 지속 고도화.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현재 한국 홀스타인 젖소의 유전능력은 세계 3~4위권 수준으로 평가.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우수 유전자원(한국 홀스타인) + 우수한 수정란 이식능력(연 3,000두 이식·수태율 약 60%)의 결합이 본 사업의 핵심 경쟁력.</w:t>
      </w:r>
    </w:p>
    <w:p>
      <w:pPr>
        <w:spacing w:before="220" w:after="60"/>
      </w:pPr>
      <w:r>
        <w:rPr>
          <w:rFonts w:ascii="맑은 고딕" w:hAnsi="맑은 고딕" w:eastAsia="맑은 고딕"/>
          <w:b/>
          <w:color w:val="0B2545"/>
          <w:sz w:val="25"/>
        </w:rPr>
        <w:t>3. 왜 성감별 수정란인가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0B2545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3345"/>
            <w:shd w:val="clear" w:color="auto" w:fill="0B2545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일반(생우 수입)</w:t>
            </w:r>
          </w:p>
        </w:tc>
        <w:tc>
          <w:tcPr>
            <w:tcW w:type="dxa" w:w="3458"/>
            <w:shd w:val="clear" w:color="auto" w:fill="0B2545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성감별 수정란 이식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도입 형태</w:t>
            </w:r>
          </w:p>
        </w:tc>
        <w:tc>
          <w:tcPr>
            <w:tcW w:type="dxa" w:w="334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살아있는 소 수입</w:t>
            </w:r>
          </w:p>
        </w:tc>
        <w:tc>
          <w:tcPr>
            <w:tcW w:type="dxa" w:w="345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동결수정란(냉동 이송)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새끼 성별</w:t>
            </w:r>
          </w:p>
        </w:tc>
        <w:tc>
          <w:tcPr>
            <w:tcW w:type="dxa" w:w="334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암/수 무작위</w:t>
            </w:r>
          </w:p>
        </w:tc>
        <w:tc>
          <w:tcPr>
            <w:tcW w:type="dxa" w:w="345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암송아지 집중 생산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유전 개량</w:t>
            </w:r>
          </w:p>
        </w:tc>
        <w:tc>
          <w:tcPr>
            <w:tcW w:type="dxa" w:w="334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느림</w:t>
            </w:r>
          </w:p>
        </w:tc>
        <w:tc>
          <w:tcPr>
            <w:tcW w:type="dxa" w:w="345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우수 유전능력 1세대 즉시 도입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검역·물류·질병</w:t>
            </w:r>
          </w:p>
        </w:tc>
        <w:tc>
          <w:tcPr>
            <w:tcW w:type="dxa" w:w="334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부담·위험 큼</w:t>
            </w:r>
          </w:p>
        </w:tc>
        <w:tc>
          <w:tcPr>
            <w:tcW w:type="dxa" w:w="345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비용·위험 낮음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현지화</w:t>
            </w:r>
          </w:p>
        </w:tc>
        <w:tc>
          <w:tcPr>
            <w:tcW w:type="dxa" w:w="334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낮음</w:t>
            </w:r>
          </w:p>
        </w:tc>
        <w:tc>
          <w:tcPr>
            <w:tcW w:type="dxa" w:w="345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현지 수란우가 낳아 현지 적응</w:t>
            </w:r>
          </w:p>
        </w:tc>
      </w:tr>
    </w:tbl>
    <w:p>
      <w:pPr>
        <w:spacing w:after="120"/>
      </w:pPr>
      <w:r>
        <w:rPr>
          <w:rFonts w:ascii="맑은 고딕" w:hAnsi="맑은 고딕" w:eastAsia="맑은 고딕"/>
          <w:b w:val="0"/>
          <w:color w:val="555555"/>
          <w:sz w:val="20"/>
        </w:rPr>
        <w:t>암송아지는 낙농 생산성의 핵심. 성감별로 암소 비율을 높여 개량 속도를 극대화하며, 개발도상국 낙농 개량에 저비용·저위험·고속 모델.</w:t>
      </w:r>
    </w:p>
    <w:p>
      <w:pPr>
        <w:spacing w:before="220" w:after="60"/>
      </w:pPr>
      <w:r>
        <w:rPr>
          <w:rFonts w:ascii="맑은 고딕" w:hAnsi="맑은 고딕" w:eastAsia="맑은 고딕"/>
          <w:b/>
          <w:color w:val="0B2545"/>
          <w:sz w:val="25"/>
        </w:rPr>
        <w:t>4. 수정란이식(ET) 절차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1) 수란우 선발 — 건강·번식이력·체형 기준 현지 소 확보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2) 발정동기화 — 이식 적기 확보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3) 수정란 해동·이식 — 발정 후 7일 전후 자궁각에 비외과적 이식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4) 임신감정 — 초음파 등으로 확인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5) 분만·송아지 관리 및 성적 기록</w:t>
      </w:r>
    </w:p>
    <w:p>
      <w:pPr>
        <w:spacing w:before="220" w:after="60"/>
      </w:pPr>
      <w:r>
        <w:rPr>
          <w:rFonts w:ascii="맑은 고딕" w:hAnsi="맑은 고딕" w:eastAsia="맑은 고딕"/>
          <w:b/>
          <w:color w:val="0B2545"/>
          <w:sz w:val="25"/>
        </w:rPr>
        <w:t>5. 해외 수출 실적 (KOPIA 등)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361"/>
            <w:shd w:val="clear" w:color="auto" w:fill="0B2545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연도</w:t>
            </w:r>
          </w:p>
        </w:tc>
        <w:tc>
          <w:tcPr>
            <w:tcW w:type="dxa" w:w="3628"/>
            <w:shd w:val="clear" w:color="auto" w:fill="0B2545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국가</w:t>
            </w:r>
          </w:p>
        </w:tc>
        <w:tc>
          <w:tcPr>
            <w:tcW w:type="dxa" w:w="1474"/>
            <w:shd w:val="clear" w:color="auto" w:fill="0B2545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수정란</w:t>
            </w:r>
          </w:p>
        </w:tc>
        <w:tc>
          <w:tcPr>
            <w:tcW w:type="dxa" w:w="2041"/>
            <w:shd w:val="clear" w:color="auto" w:fill="0B2545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2023</w:t>
            </w:r>
          </w:p>
        </w:tc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우즈베키스탄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20개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성감별 수정란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2024</w:t>
            </w:r>
          </w:p>
        </w:tc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우즈베키스탄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20개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—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2024</w:t>
            </w:r>
          </w:p>
        </w:tc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우즈베키스탄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30개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평균 수태율 약 55%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기 수행</w:t>
            </w:r>
          </w:p>
        </w:tc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몽골·키르기스스탄·베트남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기술이전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현지 ET 지도·교육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2026(예정)</w:t>
            </w:r>
          </w:p>
        </w:tc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우즈베키스탄·카자흐스탄·말레이시아·몽골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수출 예정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다국 확대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