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6FA368"/>
          <w:spacing w:val="30"/>
          <w:sz w:val="17"/>
          <w:szCs w:val="17"/>
        </w:rPr>
        <w:t xml:space="preserve">PHILIPPINES AI TECHNICIAN TRAINING</w:t>
      </w:r>
    </w:p>
    <w:p>
      <w:pPr>
        <w:spacing w:after="60"/>
      </w:pPr>
      <w:r>
        <w:rPr>
          <w:rFonts w:ascii="Cambria" w:cs="Cambria" w:eastAsia="Malgun Gothic" w:hAnsi="Cambria"/>
          <w:b/>
          <w:bCs/>
          <w:color w:val="1F4A2C"/>
          <w:sz w:val="34"/>
          <w:szCs w:val="34"/>
        </w:rPr>
        <w:t xml:space="preserve">Application Assessment — Answer Key</w:t>
      </w:r>
    </w:p>
    <w:p>
      <w:pPr>
        <w:pBdr>
          <w:bottom w:val="single" w:color="6FA368" w:sz="8" w:space="8"/>
        </w:pBdr>
        <w:spacing w:after="120"/>
      </w:pPr>
      <w:r>
        <w:rPr>
          <w:rFonts w:ascii="Calibri" w:cs="Calibri" w:eastAsia="Malgun Gothic" w:hAnsi="Calibri"/>
          <w:color w:val="5C665F"/>
          <w:sz w:val="20"/>
          <w:szCs w:val="20"/>
        </w:rPr>
        <w:t xml:space="preserve">Instructor and organiser copy · not for distribution to participants</w:t>
      </w:r>
    </w:p>
    <w:p>
      <w:pPr>
        <w:shd w:fill="B26B12" w:val="clear"/>
        <w:spacing w:after="200" w:before="160"/>
        <w:ind w:left="100" w:right="100"/>
      </w:pPr>
      <w:r>
        <w:rPr>
          <w:rFonts w:ascii="Calibri" w:cs="Calibri" w:eastAsia="Malgun Gothic" w:hAnsi="Calibri"/>
          <w:b/>
          <w:bCs/>
          <w:color w:val="FFFFFF"/>
          <w:sz w:val="19"/>
          <w:szCs w:val="19"/>
        </w:rPr>
        <w:t xml:space="preserve">CONFIDENTIAL — DO NOT DISTRIBUTE TO PARTICIPANTS   |   교육생 배포 금지</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F3F6F2" w:val="clear"/>
            <w:tcMar>
              <w:top w:type="dxa" w:w="80"/>
              <w:left w:type="dxa" w:w="120"/>
              <w:bottom w:type="dxa" w:w="80"/>
              <w:right w:type="dxa" w:w="120"/>
            </w:tcMar>
          </w:tcPr>
          <w:p>
            <w:r>
              <w:rPr>
                <w:rFonts w:ascii="Calibri" w:cs="Calibri" w:eastAsia="Malgun Gothic" w:hAnsi="Calibri"/>
                <w:b/>
                <w:bCs/>
                <w:color w:val="1F4A2C"/>
                <w:sz w:val="19"/>
                <w:szCs w:val="19"/>
              </w:rPr>
              <w:t xml:space="preserve">문항 수</w:t>
            </w:r>
          </w:p>
        </w:tc>
        <w:tc>
          <w:tcPr>
            <w:tcW w:type="dxa" w:w="6552"/>
            <w:tcMar>
              <w:top w:type="dxa" w:w="80"/>
              <w:left w:type="dxa" w:w="120"/>
              <w:bottom w:type="dxa" w:w="80"/>
              <w:right w:type="dxa" w:w="120"/>
            </w:tcMar>
          </w:tcPr>
          <w:p>
            <w:r>
              <w:rPr>
                <w:rFonts w:ascii="Calibri" w:cs="Calibri" w:eastAsia="Malgun Gothic" w:hAnsi="Calibri"/>
                <w:sz w:val="19"/>
                <w:szCs w:val="19"/>
              </w:rPr>
              <w:t xml:space="preserve">5문항 · 4지선다 단일 정답</w:t>
            </w:r>
          </w:p>
        </w:tc>
      </w:tr>
      <w:tr>
        <w:tc>
          <w:tcPr>
            <w:tcW w:type="dxa" w:w="2808"/>
            <w:shd w:fill="F3F6F2" w:val="clear"/>
            <w:tcMar>
              <w:top w:type="dxa" w:w="80"/>
              <w:left w:type="dxa" w:w="120"/>
              <w:bottom w:type="dxa" w:w="80"/>
              <w:right w:type="dxa" w:w="120"/>
            </w:tcMar>
          </w:tcPr>
          <w:p>
            <w:r>
              <w:rPr>
                <w:rFonts w:ascii="Calibri" w:cs="Calibri" w:eastAsia="Malgun Gothic" w:hAnsi="Calibri"/>
                <w:b/>
                <w:bCs/>
                <w:color w:val="1F4A2C"/>
                <w:sz w:val="19"/>
                <w:szCs w:val="19"/>
              </w:rPr>
              <w:t xml:space="preserve">배점</w:t>
            </w:r>
          </w:p>
        </w:tc>
        <w:tc>
          <w:tcPr>
            <w:tcW w:type="dxa" w:w="6552"/>
            <w:tcMar>
              <w:top w:type="dxa" w:w="80"/>
              <w:left w:type="dxa" w:w="120"/>
              <w:bottom w:type="dxa" w:w="80"/>
              <w:right w:type="dxa" w:w="120"/>
            </w:tcMar>
          </w:tcPr>
          <w:p>
            <w:r>
              <w:rPr>
                <w:rFonts w:ascii="Calibri" w:cs="Calibri" w:eastAsia="Malgun Gothic" w:hAnsi="Calibri"/>
                <w:sz w:val="19"/>
                <w:szCs w:val="19"/>
              </w:rPr>
              <w:t xml:space="preserve">문항당 20점 · 총 100점</w:t>
            </w:r>
          </w:p>
        </w:tc>
      </w:tr>
      <w:tr>
        <w:tc>
          <w:tcPr>
            <w:tcW w:type="dxa" w:w="2808"/>
            <w:shd w:fill="F3F6F2" w:val="clear"/>
            <w:tcMar>
              <w:top w:type="dxa" w:w="80"/>
              <w:left w:type="dxa" w:w="120"/>
              <w:bottom w:type="dxa" w:w="80"/>
              <w:right w:type="dxa" w:w="120"/>
            </w:tcMar>
          </w:tcPr>
          <w:p>
            <w:r>
              <w:rPr>
                <w:rFonts w:ascii="Calibri" w:cs="Calibri" w:eastAsia="Malgun Gothic" w:hAnsi="Calibri"/>
                <w:b/>
                <w:bCs/>
                <w:color w:val="1F4A2C"/>
                <w:sz w:val="19"/>
                <w:szCs w:val="19"/>
              </w:rPr>
              <w:t xml:space="preserve">합격선</w:t>
            </w:r>
          </w:p>
        </w:tc>
        <w:tc>
          <w:tcPr>
            <w:tcW w:type="dxa" w:w="6552"/>
            <w:tcMar>
              <w:top w:type="dxa" w:w="80"/>
              <w:left w:type="dxa" w:w="120"/>
              <w:bottom w:type="dxa" w:w="80"/>
              <w:right w:type="dxa" w:w="120"/>
            </w:tcMar>
          </w:tcPr>
          <w:p>
            <w:r>
              <w:rPr>
                <w:rFonts w:ascii="Calibri" w:cs="Calibri" w:eastAsia="Malgun Gothic" w:hAnsi="Calibri"/>
                <w:sz w:val="19"/>
                <w:szCs w:val="19"/>
              </w:rPr>
              <w:t xml:space="preserve">4/5 (80점)</w:t>
            </w:r>
          </w:p>
        </w:tc>
      </w:tr>
      <w:tr>
        <w:tc>
          <w:tcPr>
            <w:tcW w:type="dxa" w:w="2808"/>
            <w:shd w:fill="F3F6F2" w:val="clear"/>
            <w:tcMar>
              <w:top w:type="dxa" w:w="80"/>
              <w:left w:type="dxa" w:w="120"/>
              <w:bottom w:type="dxa" w:w="80"/>
              <w:right w:type="dxa" w:w="120"/>
            </w:tcMar>
          </w:tcPr>
          <w:p>
            <w:r>
              <w:rPr>
                <w:rFonts w:ascii="Calibri" w:cs="Calibri" w:eastAsia="Malgun Gothic" w:hAnsi="Calibri"/>
                <w:b/>
                <w:bCs/>
                <w:color w:val="1F4A2C"/>
                <w:sz w:val="19"/>
                <w:szCs w:val="19"/>
              </w:rPr>
              <w:t xml:space="preserve">용도</w:t>
            </w:r>
          </w:p>
        </w:tc>
        <w:tc>
          <w:tcPr>
            <w:tcW w:type="dxa" w:w="6552"/>
            <w:tcMar>
              <w:top w:type="dxa" w:w="80"/>
              <w:left w:type="dxa" w:w="120"/>
              <w:bottom w:type="dxa" w:w="80"/>
              <w:right w:type="dxa" w:w="120"/>
            </w:tcMar>
          </w:tcPr>
          <w:p>
            <w:r>
              <w:rPr>
                <w:rFonts w:ascii="Calibri" w:cs="Calibri" w:eastAsia="Malgun Gothic" w:hAnsi="Calibri"/>
                <w:sz w:val="19"/>
                <w:szCs w:val="19"/>
              </w:rPr>
              <w:t xml:space="preserve">교육 종료 후 1주 이내 온라인 발송 — 기억 정착 + 참가자 재접촉 명분</w:t>
            </w:r>
          </w:p>
        </w:tc>
      </w:tr>
      <w:tr>
        <w:tc>
          <w:tcPr>
            <w:tcW w:type="dxa" w:w="2808"/>
            <w:shd w:fill="F3F6F2" w:val="clear"/>
            <w:tcMar>
              <w:top w:type="dxa" w:w="80"/>
              <w:left w:type="dxa" w:w="120"/>
              <w:bottom w:type="dxa" w:w="80"/>
              <w:right w:type="dxa" w:w="120"/>
            </w:tcMar>
          </w:tcPr>
          <w:p>
            <w:r>
              <w:rPr>
                <w:rFonts w:ascii="Calibri" w:cs="Calibri" w:eastAsia="Malgun Gothic" w:hAnsi="Calibri"/>
                <w:b/>
                <w:bCs/>
                <w:color w:val="1F4A2C"/>
                <w:sz w:val="19"/>
                <w:szCs w:val="19"/>
              </w:rPr>
              <w:t xml:space="preserve">출제 의도</w:t>
            </w:r>
          </w:p>
        </w:tc>
        <w:tc>
          <w:tcPr>
            <w:tcW w:type="dxa" w:w="6552"/>
            <w:tcMar>
              <w:top w:type="dxa" w:w="80"/>
              <w:left w:type="dxa" w:w="120"/>
              <w:bottom w:type="dxa" w:w="80"/>
              <w:right w:type="dxa" w:w="120"/>
            </w:tcMar>
          </w:tcPr>
          <w:p>
            <w:r>
              <w:rPr>
                <w:rFonts w:ascii="Calibri" w:cs="Calibri" w:eastAsia="Malgun Gothic" w:hAnsi="Calibri"/>
                <w:sz w:val="19"/>
                <w:szCs w:val="19"/>
              </w:rPr>
              <w:t xml:space="preserve">암기가 아니라 현장 판단을 묻는 시나리오형</w:t>
            </w:r>
          </w:p>
        </w:tc>
      </w:tr>
    </w:tbl>
    <w:p>
      <w:pPr>
        <w:keepNext/>
        <w:spacing w:after="100" w:before="300"/>
      </w:pPr>
      <w:r>
        <w:rPr>
          <w:rFonts w:ascii="Calibri" w:cs="Calibri" w:eastAsia="Malgun Gothic" w:hAnsi="Calibri"/>
          <w:b/>
          <w:bCs/>
          <w:color w:val="1F4A2C"/>
          <w:sz w:val="22"/>
          <w:szCs w:val="22"/>
        </w:rPr>
        <w:t xml:space="preserve">Q1.</w:t>
      </w:r>
      <w:r>
        <w:rPr>
          <w:rFonts w:ascii="Calibri" w:cs="Calibri" w:eastAsia="Malgun Gothic" w:hAnsi="Calibri"/>
          <w:color w:val="5C665F"/>
          <w:sz w:val="17"/>
          <w:szCs w:val="17"/>
        </w:rPr>
        <w:t xml:space="preserve">   (Module 1 · S31–S32)</w:t>
      </w:r>
    </w:p>
    <w:p>
      <w:pPr>
        <w:keepNext/>
        <w:spacing w:after="140"/>
      </w:pPr>
      <w:r>
        <w:rPr>
          <w:rFonts w:ascii="Calibri" w:cs="Calibri" w:eastAsia="Malgun Gothic" w:hAnsi="Calibri"/>
          <w:sz w:val="21"/>
          <w:szCs w:val="21"/>
        </w:rPr>
        <w:t xml:space="preserve">You are about to transfer one Grade 1 frozen sexed Holstein embryo. On transfer day you palpate the recipient and find no corpus luteum on either ovary. What should you do?</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A)  </w:t>
      </w:r>
      <w:r>
        <w:rPr>
          <w:rFonts w:ascii="Calibri" w:cs="Calibri" w:eastAsia="Malgun Gothic" w:hAnsi="Calibri"/>
          <w:b w:val="false"/>
          <w:bCs w:val="false"/>
          <w:color w:val="000000"/>
          <w:sz w:val="21"/>
          <w:szCs w:val="21"/>
        </w:rPr>
        <w:t xml:space="preserve">Transfer into the left uterine horn anyway</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B)  </w:t>
      </w:r>
      <w:r>
        <w:rPr>
          <w:rFonts w:ascii="Calibri" w:cs="Calibri" w:eastAsia="Malgun Gothic" w:hAnsi="Calibri"/>
          <w:b w:val="false"/>
          <w:bCs w:val="false"/>
          <w:color w:val="000000"/>
          <w:sz w:val="21"/>
          <w:szCs w:val="21"/>
        </w:rPr>
        <w:t xml:space="preserve">Thaw the embryo and place it in the horn with the largest follicle</w:t>
      </w:r>
    </w:p>
    <w:p>
      <w:pPr>
        <w:keepNext/>
        <w:spacing w:after="80"/>
        <w:ind w:left="340"/>
      </w:pPr>
      <w:r>
        <w:rPr>
          <w:rFonts w:ascii="Calibri" w:cs="Calibri" w:eastAsia="Malgun Gothic" w:hAnsi="Calibri"/>
          <w:color w:val="B26B12"/>
          <w:sz w:val="21"/>
          <w:szCs w:val="21"/>
        </w:rPr>
        <w:t xml:space="preserve">■  </w:t>
      </w:r>
      <w:r>
        <w:rPr>
          <w:rFonts w:ascii="Calibri" w:cs="Calibri" w:eastAsia="Malgun Gothic" w:hAnsi="Calibri"/>
          <w:b/>
          <w:bCs/>
          <w:color w:val="B26B12"/>
          <w:sz w:val="21"/>
          <w:szCs w:val="21"/>
        </w:rPr>
        <w:t xml:space="preserve">C)  </w:t>
      </w:r>
      <w:r>
        <w:rPr>
          <w:rFonts w:ascii="Calibri" w:cs="Calibri" w:eastAsia="Malgun Gothic" w:hAnsi="Calibri"/>
          <w:b/>
          <w:bCs/>
          <w:color w:val="B26B12"/>
          <w:sz w:val="21"/>
          <w:szCs w:val="21"/>
        </w:rPr>
        <w:t xml:space="preserve">Reject this recipient and do not thaw the embryo</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D)  </w:t>
      </w:r>
      <w:r>
        <w:rPr>
          <w:rFonts w:ascii="Calibri" w:cs="Calibri" w:eastAsia="Malgun Gothic" w:hAnsi="Calibri"/>
          <w:b w:val="false"/>
          <w:bCs w:val="false"/>
          <w:color w:val="000000"/>
          <w:sz w:val="21"/>
          <w:szCs w:val="21"/>
        </w:rPr>
        <w:t xml:space="preserve">Give GnRH and transfer 24 hours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8143"/>
      </w:tblGrid>
      <w:tr>
        <w:tc>
          <w:tcPr>
            <w:tcW w:type="dxa" w:w="1217"/>
            <w:shd w:fill="F3F6F2" w:val="clear"/>
            <w:tcMar>
              <w:top w:type="dxa" w:w="90"/>
              <w:left w:type="dxa" w:w="120"/>
              <w:bottom w:type="dxa" w:w="90"/>
              <w:right w:type="dxa" w:w="120"/>
            </w:tcMar>
          </w:tcPr>
          <w:p>
            <w:r>
              <w:rPr>
                <w:rFonts w:ascii="Calibri" w:cs="Calibri" w:eastAsia="Malgun Gothic" w:hAnsi="Calibri"/>
                <w:b/>
                <w:bCs/>
                <w:color w:val="1F4A2C"/>
                <w:sz w:val="17"/>
                <w:szCs w:val="17"/>
              </w:rPr>
              <w:t xml:space="preserve">ANSWER</w:t>
            </w:r>
          </w:p>
        </w:tc>
        <w:tc>
          <w:tcPr>
            <w:tcW w:type="dxa" w:w="8143"/>
            <w:shd w:fill="F3F6F2" w:val="clear"/>
            <w:tcMar>
              <w:top w:type="dxa" w:w="90"/>
              <w:left w:type="dxa" w:w="120"/>
              <w:bottom w:type="dxa" w:w="90"/>
              <w:right w:type="dxa" w:w="120"/>
            </w:tcMar>
          </w:tcPr>
          <w:p>
            <w:r>
              <w:rPr>
                <w:rFonts w:ascii="Calibri" w:cs="Calibri" w:eastAsia="Malgun Gothic" w:hAnsi="Calibri"/>
                <w:b/>
                <w:bCs/>
                <w:color w:val="B26B12"/>
                <w:sz w:val="19"/>
                <w:szCs w:val="19"/>
              </w:rPr>
              <w:t xml:space="preserve">C)  Reject this recipient and do not thaw the embryo</w:t>
            </w:r>
          </w:p>
        </w:tc>
      </w:tr>
      <w:tr>
        <w:tc>
          <w:tcPr>
            <w:tcW w:type="dxa" w:w="1217"/>
            <w:tcMar>
              <w:top w:type="dxa" w:w="90"/>
              <w:left w:type="dxa" w:w="120"/>
              <w:bottom w:type="dxa" w:w="90"/>
              <w:right w:type="dxa" w:w="120"/>
            </w:tcMar>
          </w:tcPr>
          <w:p>
            <w:r>
              <w:rPr>
                <w:rFonts w:ascii="Calibri" w:cs="Calibri" w:eastAsia="Malgun Gothic" w:hAnsi="Calibri"/>
                <w:b/>
                <w:bCs/>
                <w:color w:val="1F4A2C"/>
                <w:sz w:val="17"/>
                <w:szCs w:val="17"/>
              </w:rPr>
              <w:t xml:space="preserve">WHY</w:t>
            </w:r>
          </w:p>
        </w:tc>
        <w:tc>
          <w:tcPr>
            <w:tcW w:type="dxa" w:w="8143"/>
            <w:tcMar>
              <w:top w:type="dxa" w:w="90"/>
              <w:left w:type="dxa" w:w="120"/>
              <w:bottom w:type="dxa" w:w="90"/>
              <w:right w:type="dxa" w:w="120"/>
            </w:tcMar>
          </w:tcPr>
          <w:p>
            <w:pPr>
              <w:spacing w:after="90"/>
            </w:pPr>
            <w:r>
              <w:rPr>
                <w:rFonts w:ascii="Calibri" w:cs="Calibri" w:eastAsia="Malgun Gothic" w:hAnsi="Calibri"/>
                <w:sz w:val="18"/>
                <w:szCs w:val="18"/>
              </w:rPr>
              <w:t xml:space="preserve">Without a corpus luteum there is no progesterone support, and a Day-7 embryo cannot establish a pregnancy. The decision must be made BEFORE thawing — a thawed embryo that is not transferred is wasted.</w:t>
            </w:r>
          </w:p>
          <w:p>
            <w:r>
              <w:rPr>
                <w:rFonts w:ascii="Calibri" w:cs="Calibri" w:eastAsia="Malgun Gothic" w:hAnsi="Calibri"/>
                <w:color w:val="1F4A2C"/>
                <w:sz w:val="18"/>
                <w:szCs w:val="18"/>
              </w:rPr>
              <w:t xml:space="preserve">황체가 없으면 프로게스테론 지지가 없어 D7 수정란은 착상하지 못하고 죽습니다. "No CL, no transfer" — 수란우를 탈락시키고 스트로를 해동하지 않는 것이 핵심입니다. 해동 후 포기하면 수정란을 버리는 것입니다.</w:t>
            </w:r>
          </w:p>
        </w:tc>
      </w:tr>
    </w:tbl>
    <w:p>
      <w:pPr>
        <w:keepNext/>
        <w:spacing w:after="100" w:before="300"/>
      </w:pPr>
      <w:r>
        <w:rPr>
          <w:rFonts w:ascii="Calibri" w:cs="Calibri" w:eastAsia="Malgun Gothic" w:hAnsi="Calibri"/>
          <w:b/>
          <w:bCs/>
          <w:color w:val="1F4A2C"/>
          <w:sz w:val="22"/>
          <w:szCs w:val="22"/>
        </w:rPr>
        <w:t xml:space="preserve">Q2.</w:t>
      </w:r>
      <w:r>
        <w:rPr>
          <w:rFonts w:ascii="Calibri" w:cs="Calibri" w:eastAsia="Malgun Gothic" w:hAnsi="Calibri"/>
          <w:color w:val="5C665F"/>
          <w:sz w:val="17"/>
          <w:szCs w:val="17"/>
        </w:rPr>
        <w:t xml:space="preserve">   (Module 2 · S8, S11)</w:t>
      </w:r>
    </w:p>
    <w:p>
      <w:pPr>
        <w:keepNext/>
        <w:spacing w:after="140"/>
      </w:pPr>
      <w:r>
        <w:rPr>
          <w:rFonts w:ascii="Calibri" w:cs="Calibri" w:eastAsia="Malgun Gothic" w:hAnsi="Calibri"/>
          <w:sz w:val="21"/>
          <w:szCs w:val="21"/>
        </w:rPr>
        <w:t xml:space="preserve">A cow has not been seen in heat for 120 days and is in body condition score 2.5. You inject PGF2α. Nothing happens. Why?</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A)  </w:t>
      </w:r>
      <w:r>
        <w:rPr>
          <w:rFonts w:ascii="Calibri" w:cs="Calibri" w:eastAsia="Malgun Gothic" w:hAnsi="Calibri"/>
          <w:b w:val="false"/>
          <w:bCs w:val="false"/>
          <w:color w:val="000000"/>
          <w:sz w:val="21"/>
          <w:szCs w:val="21"/>
        </w:rPr>
        <w:t xml:space="preserve">The dose was too low for her body weight</w:t>
      </w:r>
    </w:p>
    <w:p>
      <w:pPr>
        <w:keepNext/>
        <w:spacing w:after="80"/>
        <w:ind w:left="340"/>
      </w:pPr>
      <w:r>
        <w:rPr>
          <w:rFonts w:ascii="Calibri" w:cs="Calibri" w:eastAsia="Malgun Gothic" w:hAnsi="Calibri"/>
          <w:color w:val="B26B12"/>
          <w:sz w:val="21"/>
          <w:szCs w:val="21"/>
        </w:rPr>
        <w:t xml:space="preserve">■  </w:t>
      </w:r>
      <w:r>
        <w:rPr>
          <w:rFonts w:ascii="Calibri" w:cs="Calibri" w:eastAsia="Malgun Gothic" w:hAnsi="Calibri"/>
          <w:b/>
          <w:bCs/>
          <w:color w:val="B26B12"/>
          <w:sz w:val="21"/>
          <w:szCs w:val="21"/>
        </w:rPr>
        <w:t xml:space="preserve">B)  </w:t>
      </w:r>
      <w:r>
        <w:rPr>
          <w:rFonts w:ascii="Calibri" w:cs="Calibri" w:eastAsia="Malgun Gothic" w:hAnsi="Calibri"/>
          <w:b/>
          <w:bCs/>
          <w:color w:val="B26B12"/>
          <w:sz w:val="21"/>
          <w:szCs w:val="21"/>
        </w:rPr>
        <w:t xml:space="preserve">She is anovular — there is no functional corpus luteum for PGF2α to act on</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C)  </w:t>
      </w:r>
      <w:r>
        <w:rPr>
          <w:rFonts w:ascii="Calibri" w:cs="Calibri" w:eastAsia="Malgun Gothic" w:hAnsi="Calibri"/>
          <w:b w:val="false"/>
          <w:bCs w:val="false"/>
          <w:color w:val="000000"/>
          <w:sz w:val="21"/>
          <w:szCs w:val="21"/>
        </w:rPr>
        <w:t xml:space="preserve">PGF2α is effective only in heifers</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D)  </w:t>
      </w:r>
      <w:r>
        <w:rPr>
          <w:rFonts w:ascii="Calibri" w:cs="Calibri" w:eastAsia="Malgun Gothic" w:hAnsi="Calibri"/>
          <w:b w:val="false"/>
          <w:bCs w:val="false"/>
          <w:color w:val="000000"/>
          <w:sz w:val="21"/>
          <w:szCs w:val="21"/>
        </w:rPr>
        <w:t xml:space="preserve">PGF2α always requires two injections 11 days apart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8143"/>
      </w:tblGrid>
      <w:tr>
        <w:tc>
          <w:tcPr>
            <w:tcW w:type="dxa" w:w="1217"/>
            <w:shd w:fill="F3F6F2" w:val="clear"/>
            <w:tcMar>
              <w:top w:type="dxa" w:w="90"/>
              <w:left w:type="dxa" w:w="120"/>
              <w:bottom w:type="dxa" w:w="90"/>
              <w:right w:type="dxa" w:w="120"/>
            </w:tcMar>
          </w:tcPr>
          <w:p>
            <w:r>
              <w:rPr>
                <w:rFonts w:ascii="Calibri" w:cs="Calibri" w:eastAsia="Malgun Gothic" w:hAnsi="Calibri"/>
                <w:b/>
                <w:bCs/>
                <w:color w:val="1F4A2C"/>
                <w:sz w:val="17"/>
                <w:szCs w:val="17"/>
              </w:rPr>
              <w:t xml:space="preserve">ANSWER</w:t>
            </w:r>
          </w:p>
        </w:tc>
        <w:tc>
          <w:tcPr>
            <w:tcW w:type="dxa" w:w="8143"/>
            <w:shd w:fill="F3F6F2" w:val="clear"/>
            <w:tcMar>
              <w:top w:type="dxa" w:w="90"/>
              <w:left w:type="dxa" w:w="120"/>
              <w:bottom w:type="dxa" w:w="90"/>
              <w:right w:type="dxa" w:w="120"/>
            </w:tcMar>
          </w:tcPr>
          <w:p>
            <w:r>
              <w:rPr>
                <w:rFonts w:ascii="Calibri" w:cs="Calibri" w:eastAsia="Malgun Gothic" w:hAnsi="Calibri"/>
                <w:b/>
                <w:bCs/>
                <w:color w:val="B26B12"/>
                <w:sz w:val="19"/>
                <w:szCs w:val="19"/>
              </w:rPr>
              <w:t xml:space="preserve">B)  She is anovular — there is no functional corpus luteum for PGF2α to act on</w:t>
            </w:r>
          </w:p>
        </w:tc>
      </w:tr>
      <w:tr>
        <w:tc>
          <w:tcPr>
            <w:tcW w:type="dxa" w:w="1217"/>
            <w:tcMar>
              <w:top w:type="dxa" w:w="90"/>
              <w:left w:type="dxa" w:w="120"/>
              <w:bottom w:type="dxa" w:w="90"/>
              <w:right w:type="dxa" w:w="120"/>
            </w:tcMar>
          </w:tcPr>
          <w:p>
            <w:r>
              <w:rPr>
                <w:rFonts w:ascii="Calibri" w:cs="Calibri" w:eastAsia="Malgun Gothic" w:hAnsi="Calibri"/>
                <w:b/>
                <w:bCs/>
                <w:color w:val="1F4A2C"/>
                <w:sz w:val="17"/>
                <w:szCs w:val="17"/>
              </w:rPr>
              <w:t xml:space="preserve">WHY</w:t>
            </w:r>
          </w:p>
        </w:tc>
        <w:tc>
          <w:tcPr>
            <w:tcW w:type="dxa" w:w="8143"/>
            <w:tcMar>
              <w:top w:type="dxa" w:w="90"/>
              <w:left w:type="dxa" w:w="120"/>
              <w:bottom w:type="dxa" w:w="90"/>
              <w:right w:type="dxa" w:w="120"/>
            </w:tcMar>
          </w:tcPr>
          <w:p>
            <w:pPr>
              <w:spacing w:after="90"/>
            </w:pPr>
            <w:r>
              <w:rPr>
                <w:rFonts w:ascii="Calibri" w:cs="Calibri" w:eastAsia="Malgun Gothic" w:hAnsi="Calibri"/>
                <w:sz w:val="18"/>
                <w:szCs w:val="18"/>
              </w:rPr>
              <w:t xml:space="preserve">PGF2α causes luteolysis and therefore needs a functional CL (roughly Day 6–17). 120 days open at BCS 2.5 is a typical anovular cow — there is no target. Switch to a progesterone-based protocol (CIDR, with eCG if thin), and correct nutrition first.</w:t>
            </w:r>
          </w:p>
          <w:p>
            <w:r>
              <w:rPr>
                <w:rFonts w:ascii="Calibri" w:cs="Calibri" w:eastAsia="Malgun Gothic" w:hAnsi="Calibri"/>
                <w:color w:val="1F4A2C"/>
                <w:sz w:val="18"/>
                <w:szCs w:val="18"/>
              </w:rPr>
              <w:t xml:space="preserve">PGF2α는 기능성 황체(대략 D6–17)가 있을 때만 작용합니다. 산후 120일 무발정 + BCS 2.5 = 전형적 무배란우이므로 작용 표적 자체가 없습니다. 용량 문제가 아닙니다. → CIDR 기반 프로토콜(± eCG)로 전환하되, 사양 교정이 반드시 선행되어야 합니다.</w:t>
            </w:r>
          </w:p>
        </w:tc>
      </w:tr>
    </w:tbl>
    <w:p>
      <w:pPr>
        <w:keepNext/>
        <w:spacing w:after="100" w:before="300"/>
      </w:pPr>
      <w:r>
        <w:rPr>
          <w:rFonts w:ascii="Calibri" w:cs="Calibri" w:eastAsia="Malgun Gothic" w:hAnsi="Calibri"/>
          <w:b/>
          <w:bCs/>
          <w:color w:val="1F4A2C"/>
          <w:sz w:val="22"/>
          <w:szCs w:val="22"/>
        </w:rPr>
        <w:t xml:space="preserve">Q3.</w:t>
      </w:r>
      <w:r>
        <w:rPr>
          <w:rFonts w:ascii="Calibri" w:cs="Calibri" w:eastAsia="Malgun Gothic" w:hAnsi="Calibri"/>
          <w:color w:val="5C665F"/>
          <w:sz w:val="17"/>
          <w:szCs w:val="17"/>
        </w:rPr>
        <w:t xml:space="preserve">   (Module 2 · S16, S19)</w:t>
      </w:r>
    </w:p>
    <w:p>
      <w:pPr>
        <w:keepNext/>
        <w:spacing w:after="140"/>
      </w:pPr>
      <w:r>
        <w:rPr>
          <w:rFonts w:ascii="Calibri" w:cs="Calibri" w:eastAsia="Malgun Gothic" w:hAnsi="Calibri"/>
          <w:sz w:val="21"/>
          <w:szCs w:val="21"/>
        </w:rPr>
        <w:t xml:space="preserve">In an Ovsynch programme you give the second GnRH at 08:00 on Day 9. When should the fixed-time insemination be done?</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A)  </w:t>
      </w:r>
      <w:r>
        <w:rPr>
          <w:rFonts w:ascii="Calibri" w:cs="Calibri" w:eastAsia="Malgun Gothic" w:hAnsi="Calibri"/>
          <w:b w:val="false"/>
          <w:bCs w:val="false"/>
          <w:color w:val="000000"/>
          <w:sz w:val="21"/>
          <w:szCs w:val="21"/>
        </w:rPr>
        <w:t xml:space="preserve">Immediately, at 08:00 on Day 9</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B)  </w:t>
      </w:r>
      <w:r>
        <w:rPr>
          <w:rFonts w:ascii="Calibri" w:cs="Calibri" w:eastAsia="Malgun Gothic" w:hAnsi="Calibri"/>
          <w:b w:val="false"/>
          <w:bCs w:val="false"/>
          <w:color w:val="000000"/>
          <w:sz w:val="21"/>
          <w:szCs w:val="21"/>
        </w:rPr>
        <w:t xml:space="preserve">6–8 hours later, the same afternoon</w:t>
      </w:r>
    </w:p>
    <w:p>
      <w:pPr>
        <w:keepNext/>
        <w:spacing w:after="80"/>
        <w:ind w:left="340"/>
      </w:pPr>
      <w:r>
        <w:rPr>
          <w:rFonts w:ascii="Calibri" w:cs="Calibri" w:eastAsia="Malgun Gothic" w:hAnsi="Calibri"/>
          <w:color w:val="B26B12"/>
          <w:sz w:val="21"/>
          <w:szCs w:val="21"/>
        </w:rPr>
        <w:t xml:space="preserve">■  </w:t>
      </w:r>
      <w:r>
        <w:rPr>
          <w:rFonts w:ascii="Calibri" w:cs="Calibri" w:eastAsia="Malgun Gothic" w:hAnsi="Calibri"/>
          <w:b/>
          <w:bCs/>
          <w:color w:val="B26B12"/>
          <w:sz w:val="21"/>
          <w:szCs w:val="21"/>
        </w:rPr>
        <w:t xml:space="preserve">C)  </w:t>
      </w:r>
      <w:r>
        <w:rPr>
          <w:rFonts w:ascii="Calibri" w:cs="Calibri" w:eastAsia="Malgun Gothic" w:hAnsi="Calibri"/>
          <w:b/>
          <w:bCs/>
          <w:color w:val="B26B12"/>
          <w:sz w:val="21"/>
          <w:szCs w:val="21"/>
        </w:rPr>
        <w:t xml:space="preserve">16–20 hours later, on Day 10</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D)  </w:t>
      </w:r>
      <w:r>
        <w:rPr>
          <w:rFonts w:ascii="Calibri" w:cs="Calibri" w:eastAsia="Malgun Gothic" w:hAnsi="Calibri"/>
          <w:b w:val="false"/>
          <w:bCs w:val="false"/>
          <w:color w:val="000000"/>
          <w:sz w:val="21"/>
          <w:szCs w:val="21"/>
        </w:rPr>
        <w:t xml:space="preserve">48 hours later, on Day 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8143"/>
      </w:tblGrid>
      <w:tr>
        <w:tc>
          <w:tcPr>
            <w:tcW w:type="dxa" w:w="1217"/>
            <w:shd w:fill="F3F6F2" w:val="clear"/>
            <w:tcMar>
              <w:top w:type="dxa" w:w="90"/>
              <w:left w:type="dxa" w:w="120"/>
              <w:bottom w:type="dxa" w:w="90"/>
              <w:right w:type="dxa" w:w="120"/>
            </w:tcMar>
          </w:tcPr>
          <w:p>
            <w:r>
              <w:rPr>
                <w:rFonts w:ascii="Calibri" w:cs="Calibri" w:eastAsia="Malgun Gothic" w:hAnsi="Calibri"/>
                <w:b/>
                <w:bCs/>
                <w:color w:val="1F4A2C"/>
                <w:sz w:val="17"/>
                <w:szCs w:val="17"/>
              </w:rPr>
              <w:t xml:space="preserve">ANSWER</w:t>
            </w:r>
          </w:p>
        </w:tc>
        <w:tc>
          <w:tcPr>
            <w:tcW w:type="dxa" w:w="8143"/>
            <w:shd w:fill="F3F6F2" w:val="clear"/>
            <w:tcMar>
              <w:top w:type="dxa" w:w="90"/>
              <w:left w:type="dxa" w:w="120"/>
              <w:bottom w:type="dxa" w:w="90"/>
              <w:right w:type="dxa" w:w="120"/>
            </w:tcMar>
          </w:tcPr>
          <w:p>
            <w:r>
              <w:rPr>
                <w:rFonts w:ascii="Calibri" w:cs="Calibri" w:eastAsia="Malgun Gothic" w:hAnsi="Calibri"/>
                <w:b/>
                <w:bCs/>
                <w:color w:val="B26B12"/>
                <w:sz w:val="19"/>
                <w:szCs w:val="19"/>
              </w:rPr>
              <w:t xml:space="preserve">C)  16–20 hours later, on Day 10</w:t>
            </w:r>
          </w:p>
        </w:tc>
      </w:tr>
      <w:tr>
        <w:tc>
          <w:tcPr>
            <w:tcW w:type="dxa" w:w="1217"/>
            <w:tcMar>
              <w:top w:type="dxa" w:w="90"/>
              <w:left w:type="dxa" w:w="120"/>
              <w:bottom w:type="dxa" w:w="90"/>
              <w:right w:type="dxa" w:w="120"/>
            </w:tcMar>
          </w:tcPr>
          <w:p>
            <w:r>
              <w:rPr>
                <w:rFonts w:ascii="Calibri" w:cs="Calibri" w:eastAsia="Malgun Gothic" w:hAnsi="Calibri"/>
                <w:b/>
                <w:bCs/>
                <w:color w:val="1F4A2C"/>
                <w:sz w:val="17"/>
                <w:szCs w:val="17"/>
              </w:rPr>
              <w:t xml:space="preserve">WHY</w:t>
            </w:r>
          </w:p>
        </w:tc>
        <w:tc>
          <w:tcPr>
            <w:tcW w:type="dxa" w:w="8143"/>
            <w:tcMar>
              <w:top w:type="dxa" w:w="90"/>
              <w:left w:type="dxa" w:w="120"/>
              <w:bottom w:type="dxa" w:w="90"/>
              <w:right w:type="dxa" w:w="120"/>
            </w:tcMar>
          </w:tcPr>
          <w:p>
            <w:pPr>
              <w:spacing w:after="90"/>
            </w:pPr>
            <w:r>
              <w:rPr>
                <w:rFonts w:ascii="Calibri" w:cs="Calibri" w:eastAsia="Malgun Gothic" w:hAnsi="Calibri"/>
                <w:sz w:val="18"/>
                <w:szCs w:val="18"/>
              </w:rPr>
              <w:t xml:space="preserve">GnRH triggers ovulation 24–32 h later, and sperm need about 6 h of capacitation. Inseminating 16–20 h after the GnRH puts capacitated sperm in the oviduct before the oocyte arrives. Sperm first, egg second.</w:t>
            </w:r>
          </w:p>
          <w:p>
            <w:r>
              <w:rPr>
                <w:rFonts w:ascii="Calibri" w:cs="Calibri" w:eastAsia="Malgun Gothic" w:hAnsi="Calibri"/>
                <w:color w:val="1F4A2C"/>
                <w:sz w:val="18"/>
                <w:szCs w:val="18"/>
              </w:rPr>
              <w:t xml:space="preserve">GnRH 후 배란은 24–32시간, 정자는 수정능획득에 약 6시간이 필요합니다. 따라서 난자 도착 전에 정자가 난관에 대기하도록 16–20시간 후에 수정합니다. "정자가 먼저, 난자가 나중."</w:t>
            </w:r>
          </w:p>
        </w:tc>
      </w:tr>
    </w:tbl>
    <w:p>
      <w:pPr>
        <w:keepNext/>
        <w:spacing w:after="100" w:before="300"/>
      </w:pPr>
      <w:r>
        <w:rPr>
          <w:rFonts w:ascii="Calibri" w:cs="Calibri" w:eastAsia="Malgun Gothic" w:hAnsi="Calibri"/>
          <w:b/>
          <w:bCs/>
          <w:color w:val="1F4A2C"/>
          <w:sz w:val="22"/>
          <w:szCs w:val="22"/>
        </w:rPr>
        <w:t xml:space="preserve">Q4.</w:t>
      </w:r>
      <w:r>
        <w:rPr>
          <w:rFonts w:ascii="Calibri" w:cs="Calibri" w:eastAsia="Malgun Gothic" w:hAnsi="Calibri"/>
          <w:color w:val="5C665F"/>
          <w:sz w:val="17"/>
          <w:szCs w:val="17"/>
        </w:rPr>
        <w:t xml:space="preserve">   (Module 3 · S4, S13–S14)</w:t>
      </w:r>
    </w:p>
    <w:p>
      <w:pPr>
        <w:keepNext/>
        <w:spacing w:after="140"/>
      </w:pPr>
      <w:r>
        <w:rPr>
          <w:rFonts w:ascii="Calibri" w:cs="Calibri" w:eastAsia="Malgun Gothic" w:hAnsi="Calibri"/>
          <w:sz w:val="21"/>
          <w:szCs w:val="21"/>
        </w:rPr>
        <w:t xml:space="preserve">A herd is fed a high-concentrate, finely chopped ration. Bulk milk fat has fallen, the fat-to-protein ratio in early-lactation cows is 0.95, and the manure is loose with gas bubbles and undigested grain. What is the most likely diagnosis?</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A)  </w:t>
      </w:r>
      <w:r>
        <w:rPr>
          <w:rFonts w:ascii="Calibri" w:cs="Calibri" w:eastAsia="Malgun Gothic" w:hAnsi="Calibri"/>
          <w:b w:val="false"/>
          <w:bCs w:val="false"/>
          <w:color w:val="000000"/>
          <w:sz w:val="21"/>
          <w:szCs w:val="21"/>
        </w:rPr>
        <w:t xml:space="preserve">Clinical ketosis</w:t>
      </w:r>
    </w:p>
    <w:p>
      <w:pPr>
        <w:keepNext/>
        <w:spacing w:after="80"/>
        <w:ind w:left="340"/>
      </w:pPr>
      <w:r>
        <w:rPr>
          <w:rFonts w:ascii="Calibri" w:cs="Calibri" w:eastAsia="Malgun Gothic" w:hAnsi="Calibri"/>
          <w:color w:val="B26B12"/>
          <w:sz w:val="21"/>
          <w:szCs w:val="21"/>
        </w:rPr>
        <w:t xml:space="preserve">■  </w:t>
      </w:r>
      <w:r>
        <w:rPr>
          <w:rFonts w:ascii="Calibri" w:cs="Calibri" w:eastAsia="Malgun Gothic" w:hAnsi="Calibri"/>
          <w:b/>
          <w:bCs/>
          <w:color w:val="B26B12"/>
          <w:sz w:val="21"/>
          <w:szCs w:val="21"/>
        </w:rPr>
        <w:t xml:space="preserve">B)  </w:t>
      </w:r>
      <w:r>
        <w:rPr>
          <w:rFonts w:ascii="Calibri" w:cs="Calibri" w:eastAsia="Malgun Gothic" w:hAnsi="Calibri"/>
          <w:b/>
          <w:bCs/>
          <w:color w:val="B26B12"/>
          <w:sz w:val="21"/>
          <w:szCs w:val="21"/>
        </w:rPr>
        <w:t xml:space="preserve">Subacute ruminal acidosis (SARA)</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C)  </w:t>
      </w:r>
      <w:r>
        <w:rPr>
          <w:rFonts w:ascii="Calibri" w:cs="Calibri" w:eastAsia="Malgun Gothic" w:hAnsi="Calibri"/>
          <w:b w:val="false"/>
          <w:bCs w:val="false"/>
          <w:color w:val="000000"/>
          <w:sz w:val="21"/>
          <w:szCs w:val="21"/>
        </w:rPr>
        <w:t xml:space="preserve">Left displaced abomasum</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D)  </w:t>
      </w:r>
      <w:r>
        <w:rPr>
          <w:rFonts w:ascii="Calibri" w:cs="Calibri" w:eastAsia="Malgun Gothic" w:hAnsi="Calibri"/>
          <w:b w:val="false"/>
          <w:bCs w:val="false"/>
          <w:color w:val="000000"/>
          <w:sz w:val="21"/>
          <w:szCs w:val="21"/>
        </w:rPr>
        <w:t xml:space="preserve">Clinical hypocalcaemia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8143"/>
      </w:tblGrid>
      <w:tr>
        <w:tc>
          <w:tcPr>
            <w:tcW w:type="dxa" w:w="1217"/>
            <w:shd w:fill="F3F6F2" w:val="clear"/>
            <w:tcMar>
              <w:top w:type="dxa" w:w="90"/>
              <w:left w:type="dxa" w:w="120"/>
              <w:bottom w:type="dxa" w:w="90"/>
              <w:right w:type="dxa" w:w="120"/>
            </w:tcMar>
          </w:tcPr>
          <w:p>
            <w:r>
              <w:rPr>
                <w:rFonts w:ascii="Calibri" w:cs="Calibri" w:eastAsia="Malgun Gothic" w:hAnsi="Calibri"/>
                <w:b/>
                <w:bCs/>
                <w:color w:val="1F4A2C"/>
                <w:sz w:val="17"/>
                <w:szCs w:val="17"/>
              </w:rPr>
              <w:t xml:space="preserve">ANSWER</w:t>
            </w:r>
          </w:p>
        </w:tc>
        <w:tc>
          <w:tcPr>
            <w:tcW w:type="dxa" w:w="8143"/>
            <w:shd w:fill="F3F6F2" w:val="clear"/>
            <w:tcMar>
              <w:top w:type="dxa" w:w="90"/>
              <w:left w:type="dxa" w:w="120"/>
              <w:bottom w:type="dxa" w:w="90"/>
              <w:right w:type="dxa" w:w="120"/>
            </w:tcMar>
          </w:tcPr>
          <w:p>
            <w:r>
              <w:rPr>
                <w:rFonts w:ascii="Calibri" w:cs="Calibri" w:eastAsia="Malgun Gothic" w:hAnsi="Calibri"/>
                <w:b/>
                <w:bCs/>
                <w:color w:val="B26B12"/>
                <w:sz w:val="19"/>
                <w:szCs w:val="19"/>
              </w:rPr>
              <w:t xml:space="preserve">B)  Subacute ruminal acidosis (SARA)</w:t>
            </w:r>
          </w:p>
        </w:tc>
      </w:tr>
      <w:tr>
        <w:tc>
          <w:tcPr>
            <w:tcW w:type="dxa" w:w="1217"/>
            <w:tcMar>
              <w:top w:type="dxa" w:w="90"/>
              <w:left w:type="dxa" w:w="120"/>
              <w:bottom w:type="dxa" w:w="90"/>
              <w:right w:type="dxa" w:w="120"/>
            </w:tcMar>
          </w:tcPr>
          <w:p>
            <w:r>
              <w:rPr>
                <w:rFonts w:ascii="Calibri" w:cs="Calibri" w:eastAsia="Malgun Gothic" w:hAnsi="Calibri"/>
                <w:b/>
                <w:bCs/>
                <w:color w:val="1F4A2C"/>
                <w:sz w:val="17"/>
                <w:szCs w:val="17"/>
              </w:rPr>
              <w:t xml:space="preserve">WHY</w:t>
            </w:r>
          </w:p>
        </w:tc>
        <w:tc>
          <w:tcPr>
            <w:tcW w:type="dxa" w:w="8143"/>
            <w:tcMar>
              <w:top w:type="dxa" w:w="90"/>
              <w:left w:type="dxa" w:w="120"/>
              <w:bottom w:type="dxa" w:w="90"/>
              <w:right w:type="dxa" w:w="120"/>
            </w:tcMar>
          </w:tcPr>
          <w:p>
            <w:pPr>
              <w:spacing w:after="90"/>
            </w:pPr>
            <w:r>
              <w:rPr>
                <w:rFonts w:ascii="Calibri" w:cs="Calibri" w:eastAsia="Malgun Gothic" w:hAnsi="Calibri"/>
                <w:sz w:val="18"/>
                <w:szCs w:val="18"/>
              </w:rPr>
              <w:t xml:space="preserve">Too little physically effective fibre means less chewing, less saliva, less bicarbonate and a falling rumen pH. The fibre-digesting bacteria die first, acetate falls, and milk fat follows. A fat:protein ratio below 1.0 in early lactation, bubbly loose manure and undigested grain are the classic SARA triad.</w:t>
            </w:r>
          </w:p>
          <w:p>
            <w:r>
              <w:rPr>
                <w:rFonts w:ascii="Calibri" w:cs="Calibri" w:eastAsia="Malgun Gothic" w:hAnsi="Calibri"/>
                <w:color w:val="1F4A2C"/>
                <w:sz w:val="18"/>
                <w:szCs w:val="18"/>
              </w:rPr>
              <w:t xml:space="preserve">고농후·세절 사료 → 유효섬유 부족 → 저작·타액·중탄산 감소 → pH 하락 → 섬유분해균 사멸 → 아세트산 감소 → 유지방 저하. 착유 초기 지방:단백 1.0 미만, 기포성 묽은 분변, 미소화 곡류가 전형적 SARA 삼징후입니다.</w:t>
            </w:r>
          </w:p>
        </w:tc>
      </w:tr>
    </w:tbl>
    <w:p>
      <w:pPr>
        <w:keepNext/>
        <w:spacing w:after="100" w:before="300"/>
      </w:pPr>
      <w:r>
        <w:rPr>
          <w:rFonts w:ascii="Calibri" w:cs="Calibri" w:eastAsia="Malgun Gothic" w:hAnsi="Calibri"/>
          <w:b/>
          <w:bCs/>
          <w:color w:val="1F4A2C"/>
          <w:sz w:val="22"/>
          <w:szCs w:val="22"/>
        </w:rPr>
        <w:t xml:space="preserve">Q5.</w:t>
      </w:r>
      <w:r>
        <w:rPr>
          <w:rFonts w:ascii="Calibri" w:cs="Calibri" w:eastAsia="Malgun Gothic" w:hAnsi="Calibri"/>
          <w:color w:val="5C665F"/>
          <w:sz w:val="17"/>
          <w:szCs w:val="17"/>
        </w:rPr>
        <w:t xml:space="preserve">   (Module 3 · S24)</w:t>
      </w:r>
    </w:p>
    <w:p>
      <w:pPr>
        <w:keepNext/>
        <w:spacing w:after="140"/>
      </w:pPr>
      <w:r>
        <w:rPr>
          <w:rFonts w:ascii="Calibri" w:cs="Calibri" w:eastAsia="Malgun Gothic" w:hAnsi="Calibri"/>
          <w:sz w:val="21"/>
          <w:szCs w:val="21"/>
        </w:rPr>
        <w:t xml:space="preserve">You are monitoring a dry-cow anionic salt (DCAD) programme. Urine pH in your Holstein dry cows measures 7.4. What does this tell you?</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A)  </w:t>
      </w:r>
      <w:r>
        <w:rPr>
          <w:rFonts w:ascii="Calibri" w:cs="Calibri" w:eastAsia="Malgun Gothic" w:hAnsi="Calibri"/>
          <w:b w:val="false"/>
          <w:bCs w:val="false"/>
          <w:color w:val="000000"/>
          <w:sz w:val="21"/>
          <w:szCs w:val="21"/>
        </w:rPr>
        <w:t xml:space="preserve">The programme is working correctly</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B)  </w:t>
      </w:r>
      <w:r>
        <w:rPr>
          <w:rFonts w:ascii="Calibri" w:cs="Calibri" w:eastAsia="Malgun Gothic" w:hAnsi="Calibri"/>
          <w:b w:val="false"/>
          <w:bCs w:val="false"/>
          <w:color w:val="000000"/>
          <w:sz w:val="21"/>
          <w:szCs w:val="21"/>
        </w:rPr>
        <w:t xml:space="preserve">The cows are over-acidified — reduce the anionic salts immediately</w:t>
      </w:r>
    </w:p>
    <w:p>
      <w:pPr>
        <w:keepNext/>
        <w:spacing w:after="80"/>
        <w:ind w:left="340"/>
      </w:pPr>
      <w:r>
        <w:rPr>
          <w:rFonts w:ascii="Calibri" w:cs="Calibri" w:eastAsia="Malgun Gothic" w:hAnsi="Calibri"/>
          <w:color w:val="B26B12"/>
          <w:sz w:val="21"/>
          <w:szCs w:val="21"/>
        </w:rPr>
        <w:t xml:space="preserve">■  </w:t>
      </w:r>
      <w:r>
        <w:rPr>
          <w:rFonts w:ascii="Calibri" w:cs="Calibri" w:eastAsia="Malgun Gothic" w:hAnsi="Calibri"/>
          <w:b/>
          <w:bCs/>
          <w:color w:val="B26B12"/>
          <w:sz w:val="21"/>
          <w:szCs w:val="21"/>
        </w:rPr>
        <w:t xml:space="preserve">C)  </w:t>
      </w:r>
      <w:r>
        <w:rPr>
          <w:rFonts w:ascii="Calibri" w:cs="Calibri" w:eastAsia="Malgun Gothic" w:hAnsi="Calibri"/>
          <w:b/>
          <w:bCs/>
          <w:color w:val="B26B12"/>
          <w:sz w:val="21"/>
          <w:szCs w:val="21"/>
        </w:rPr>
        <w:t xml:space="preserve">The cows are still alkaline — the anionic salts are not working and milk fever risk remains</w:t>
      </w:r>
    </w:p>
    <w:p>
      <w:pPr>
        <w:keepNext/>
        <w:spacing w:after="80"/>
        <w:ind w:left="340"/>
      </w:pPr>
      <w:r>
        <w:rPr>
          <w:rFonts w:ascii="Calibri" w:cs="Calibri" w:eastAsia="Malgun Gothic" w:hAnsi="Calibri"/>
          <w:color w:val="5C665F"/>
          <w:sz w:val="21"/>
          <w:szCs w:val="21"/>
        </w:rPr>
        <w:t xml:space="preserve">□  </w:t>
      </w:r>
      <w:r>
        <w:rPr>
          <w:rFonts w:ascii="Calibri" w:cs="Calibri" w:eastAsia="Malgun Gothic" w:hAnsi="Calibri"/>
          <w:b/>
          <w:bCs/>
          <w:color w:val="000000"/>
          <w:sz w:val="21"/>
          <w:szCs w:val="21"/>
        </w:rPr>
        <w:t xml:space="preserve">D)  </w:t>
      </w:r>
      <w:r>
        <w:rPr>
          <w:rFonts w:ascii="Calibri" w:cs="Calibri" w:eastAsia="Malgun Gothic" w:hAnsi="Calibri"/>
          <w:b w:val="false"/>
          <w:bCs w:val="false"/>
          <w:color w:val="000000"/>
          <w:sz w:val="21"/>
          <w:szCs w:val="21"/>
        </w:rPr>
        <w:t xml:space="preserve">The result indicates a urinary tract infection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8143"/>
      </w:tblGrid>
      <w:tr>
        <w:tc>
          <w:tcPr>
            <w:tcW w:type="dxa" w:w="1217"/>
            <w:shd w:fill="F3F6F2" w:val="clear"/>
            <w:tcMar>
              <w:top w:type="dxa" w:w="90"/>
              <w:left w:type="dxa" w:w="120"/>
              <w:bottom w:type="dxa" w:w="90"/>
              <w:right w:type="dxa" w:w="120"/>
            </w:tcMar>
          </w:tcPr>
          <w:p>
            <w:r>
              <w:rPr>
                <w:rFonts w:ascii="Calibri" w:cs="Calibri" w:eastAsia="Malgun Gothic" w:hAnsi="Calibri"/>
                <w:b/>
                <w:bCs/>
                <w:color w:val="1F4A2C"/>
                <w:sz w:val="17"/>
                <w:szCs w:val="17"/>
              </w:rPr>
              <w:t xml:space="preserve">ANSWER</w:t>
            </w:r>
          </w:p>
        </w:tc>
        <w:tc>
          <w:tcPr>
            <w:tcW w:type="dxa" w:w="8143"/>
            <w:shd w:fill="F3F6F2" w:val="clear"/>
            <w:tcMar>
              <w:top w:type="dxa" w:w="90"/>
              <w:left w:type="dxa" w:w="120"/>
              <w:bottom w:type="dxa" w:w="90"/>
              <w:right w:type="dxa" w:w="120"/>
            </w:tcMar>
          </w:tcPr>
          <w:p>
            <w:r>
              <w:rPr>
                <w:rFonts w:ascii="Calibri" w:cs="Calibri" w:eastAsia="Malgun Gothic" w:hAnsi="Calibri"/>
                <w:b/>
                <w:bCs/>
                <w:color w:val="B26B12"/>
                <w:sz w:val="19"/>
                <w:szCs w:val="19"/>
              </w:rPr>
              <w:t xml:space="preserve">C)  The cows are still alkaline — the anionic salts are not working and milk fever risk remains</w:t>
            </w:r>
          </w:p>
        </w:tc>
      </w:tr>
      <w:tr>
        <w:tc>
          <w:tcPr>
            <w:tcW w:type="dxa" w:w="1217"/>
            <w:tcMar>
              <w:top w:type="dxa" w:w="90"/>
              <w:left w:type="dxa" w:w="120"/>
              <w:bottom w:type="dxa" w:w="90"/>
              <w:right w:type="dxa" w:w="120"/>
            </w:tcMar>
          </w:tcPr>
          <w:p>
            <w:r>
              <w:rPr>
                <w:rFonts w:ascii="Calibri" w:cs="Calibri" w:eastAsia="Malgun Gothic" w:hAnsi="Calibri"/>
                <w:b/>
                <w:bCs/>
                <w:color w:val="1F4A2C"/>
                <w:sz w:val="17"/>
                <w:szCs w:val="17"/>
              </w:rPr>
              <w:t xml:space="preserve">WHY</w:t>
            </w:r>
          </w:p>
        </w:tc>
        <w:tc>
          <w:tcPr>
            <w:tcW w:type="dxa" w:w="8143"/>
            <w:tcMar>
              <w:top w:type="dxa" w:w="90"/>
              <w:left w:type="dxa" w:w="120"/>
              <w:bottom w:type="dxa" w:w="90"/>
              <w:right w:type="dxa" w:w="120"/>
            </w:tcMar>
          </w:tcPr>
          <w:p>
            <w:pPr>
              <w:spacing w:after="90"/>
            </w:pPr>
            <w:r>
              <w:rPr>
                <w:rFonts w:ascii="Calibri" w:cs="Calibri" w:eastAsia="Malgun Gothic" w:hAnsi="Calibri"/>
                <w:sz w:val="18"/>
                <w:szCs w:val="18"/>
              </w:rPr>
              <w:t xml:space="preserve">The target urine pH is 6.0–6.5 in Holsteins. At 7.4 the cow is still in metabolic alkalosis, the PTH receptor stays insensitive, she cannot mobilise her own calcium, and milk fever risk is unchanged. Check anionic salt intake, mixing, and forage potassium. Below 5.5 is over-acidification and depresses intake.</w:t>
            </w:r>
          </w:p>
          <w:p>
            <w:r>
              <w:rPr>
                <w:rFonts w:ascii="Calibri" w:cs="Calibri" w:eastAsia="Malgun Gothic" w:hAnsi="Calibri"/>
                <w:color w:val="1F4A2C"/>
                <w:sz w:val="18"/>
                <w:szCs w:val="18"/>
              </w:rPr>
              <w:t xml:space="preserve">목표 요 pH는 홀스타인 6.0–6.5입니다. 7.4는 여전히 알칼리성 → PTH 수용체 불응 상태 유지 → 칼슘 동원 실패 → 유열·준임상 저칼슘 위험 지속. 조치는 음이온염 증량 또는 급여 점검(섭취량·혼합·고칼륨 조사료). 5.5 미만이면 과교정으로 사료 섭취가 떨어집니다.</w:t>
            </w:r>
          </w:p>
        </w:tc>
      </w:tr>
    </w:tbl>
    <w:p>
      <w:r>
        <w:br w:type="page"/>
      </w:r>
    </w:p>
    <w:p>
      <w:pPr>
        <w:spacing w:after="160"/>
      </w:pPr>
      <w:r>
        <w:rPr>
          <w:rFonts w:ascii="Cambria" w:cs="Cambria" w:eastAsia="Malgun Gothic" w:hAnsi="Cambria"/>
          <w:b/>
          <w:bCs/>
          <w:color w:val="1F4A2C"/>
          <w:sz w:val="26"/>
          <w:szCs w:val="26"/>
        </w:rPr>
        <w:t xml:space="preserve">Distractor design — 문항 품질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c>
          <w:tcPr>
            <w:tcW w:type="dxa" w:w="1498"/>
            <w:shd w:fill="F3F6F2" w:val="clear"/>
            <w:tcMar>
              <w:top w:type="dxa" w:w="90"/>
              <w:left w:type="dxa" w:w="120"/>
              <w:bottom w:type="dxa" w:w="90"/>
              <w:right w:type="dxa" w:w="120"/>
            </w:tcMar>
          </w:tcPr>
          <w:p>
            <w:r>
              <w:rPr>
                <w:rFonts w:ascii="Calibri" w:cs="Calibri" w:eastAsia="Malgun Gothic" w:hAnsi="Calibri"/>
                <w:b/>
                <w:bCs/>
                <w:color w:val="1F4A2C"/>
                <w:sz w:val="18"/>
                <w:szCs w:val="18"/>
              </w:rPr>
              <w:t xml:space="preserve">Q1 – D</w:t>
            </w:r>
          </w:p>
        </w:tc>
        <w:tc>
          <w:tcPr>
            <w:tcW w:type="dxa" w:w="7862"/>
            <w:tcMar>
              <w:top w:type="dxa" w:w="90"/>
              <w:left w:type="dxa" w:w="120"/>
              <w:bottom w:type="dxa" w:w="90"/>
              <w:right w:type="dxa" w:w="120"/>
            </w:tcMar>
          </w:tcPr>
          <w:p>
            <w:r>
              <w:rPr>
                <w:rFonts w:ascii="Calibri" w:cs="Calibri" w:eastAsia="Malgun Gothic" w:hAnsi="Calibri"/>
                <w:sz w:val="18"/>
                <w:szCs w:val="18"/>
              </w:rPr>
              <w:t xml:space="preserve">"GnRH 주고 24시간 뒤 이식" — 그럴듯하지만 배란 후 7일이 되어야 하므로 시점이 완전히 어긋납니다. 시점 개념 이해 여부를 가릅니다.</w:t>
            </w:r>
          </w:p>
        </w:tc>
      </w:tr>
      <w:tr>
        <w:tc>
          <w:tcPr>
            <w:tcW w:type="dxa" w:w="1498"/>
            <w:shd w:fill="F3F6F2" w:val="clear"/>
            <w:tcMar>
              <w:top w:type="dxa" w:w="90"/>
              <w:left w:type="dxa" w:w="120"/>
              <w:bottom w:type="dxa" w:w="90"/>
              <w:right w:type="dxa" w:w="120"/>
            </w:tcMar>
          </w:tcPr>
          <w:p>
            <w:r>
              <w:rPr>
                <w:rFonts w:ascii="Calibri" w:cs="Calibri" w:eastAsia="Malgun Gothic" w:hAnsi="Calibri"/>
                <w:b/>
                <w:bCs/>
                <w:color w:val="1F4A2C"/>
                <w:sz w:val="18"/>
                <w:szCs w:val="18"/>
              </w:rPr>
              <w:t xml:space="preserve">Q2 – A</w:t>
            </w:r>
          </w:p>
        </w:tc>
        <w:tc>
          <w:tcPr>
            <w:tcW w:type="dxa" w:w="7862"/>
            <w:tcMar>
              <w:top w:type="dxa" w:w="90"/>
              <w:left w:type="dxa" w:w="120"/>
              <w:bottom w:type="dxa" w:w="90"/>
              <w:right w:type="dxa" w:w="120"/>
            </w:tcMar>
          </w:tcPr>
          <w:p>
            <w:r>
              <w:rPr>
                <w:rFonts w:ascii="Calibri" w:cs="Calibri" w:eastAsia="Malgun Gothic" w:hAnsi="Calibri"/>
                <w:sz w:val="18"/>
                <w:szCs w:val="18"/>
              </w:rPr>
              <w:t xml:space="preserve">"용량 부족" — 현장에서 가장 흔한 오진입니다. 이 선택지를 고른 교육생은 재교육 대상으로 식별하십시오.</w:t>
            </w:r>
          </w:p>
        </w:tc>
      </w:tr>
      <w:tr>
        <w:tc>
          <w:tcPr>
            <w:tcW w:type="dxa" w:w="1498"/>
            <w:shd w:fill="F3F6F2" w:val="clear"/>
            <w:tcMar>
              <w:top w:type="dxa" w:w="90"/>
              <w:left w:type="dxa" w:w="120"/>
              <w:bottom w:type="dxa" w:w="90"/>
              <w:right w:type="dxa" w:w="120"/>
            </w:tcMar>
          </w:tcPr>
          <w:p>
            <w:r>
              <w:rPr>
                <w:rFonts w:ascii="Calibri" w:cs="Calibri" w:eastAsia="Malgun Gothic" w:hAnsi="Calibri"/>
                <w:b/>
                <w:bCs/>
                <w:color w:val="1F4A2C"/>
                <w:sz w:val="18"/>
                <w:szCs w:val="18"/>
              </w:rPr>
              <w:t xml:space="preserve">Q3 – B</w:t>
            </w:r>
          </w:p>
        </w:tc>
        <w:tc>
          <w:tcPr>
            <w:tcW w:type="dxa" w:w="7862"/>
            <w:tcMar>
              <w:top w:type="dxa" w:w="90"/>
              <w:left w:type="dxa" w:w="120"/>
              <w:bottom w:type="dxa" w:w="90"/>
              <w:right w:type="dxa" w:w="120"/>
            </w:tcMar>
          </w:tcPr>
          <w:p>
            <w:r>
              <w:rPr>
                <w:rFonts w:ascii="Calibri" w:cs="Calibri" w:eastAsia="Malgun Gothic" w:hAnsi="Calibri"/>
                <w:sz w:val="18"/>
                <w:szCs w:val="18"/>
              </w:rPr>
              <w:t xml:space="preserve">"6–8시간 후" — 발정 관찰 후 수정(AM–PM) 감각으로 답하면 걸리는 함정입니다.</w:t>
            </w:r>
          </w:p>
        </w:tc>
      </w:tr>
      <w:tr>
        <w:tc>
          <w:tcPr>
            <w:tcW w:type="dxa" w:w="1498"/>
            <w:shd w:fill="F3F6F2" w:val="clear"/>
            <w:tcMar>
              <w:top w:type="dxa" w:w="90"/>
              <w:left w:type="dxa" w:w="120"/>
              <w:bottom w:type="dxa" w:w="90"/>
              <w:right w:type="dxa" w:w="120"/>
            </w:tcMar>
          </w:tcPr>
          <w:p>
            <w:r>
              <w:rPr>
                <w:rFonts w:ascii="Calibri" w:cs="Calibri" w:eastAsia="Malgun Gothic" w:hAnsi="Calibri"/>
                <w:b/>
                <w:bCs/>
                <w:color w:val="1F4A2C"/>
                <w:sz w:val="18"/>
                <w:szCs w:val="18"/>
              </w:rPr>
              <w:t xml:space="preserve">Q4 – A</w:t>
            </w:r>
          </w:p>
        </w:tc>
        <w:tc>
          <w:tcPr>
            <w:tcW w:type="dxa" w:w="7862"/>
            <w:tcMar>
              <w:top w:type="dxa" w:w="90"/>
              <w:left w:type="dxa" w:w="120"/>
              <w:bottom w:type="dxa" w:w="90"/>
              <w:right w:type="dxa" w:w="120"/>
            </w:tcMar>
          </w:tcPr>
          <w:p>
            <w:r>
              <w:rPr>
                <w:rFonts w:ascii="Calibri" w:cs="Calibri" w:eastAsia="Malgun Gothic" w:hAnsi="Calibri"/>
                <w:sz w:val="18"/>
                <w:szCs w:val="18"/>
              </w:rPr>
              <w:t xml:space="preserve">케토시스 — 유량·유지방 저하가 겹쳐 혼동되지만, 분변 소견과 지방:단백 비율이 감별점입니다.</w:t>
            </w:r>
          </w:p>
        </w:tc>
      </w:tr>
      <w:tr>
        <w:tc>
          <w:tcPr>
            <w:tcW w:type="dxa" w:w="1498"/>
            <w:shd w:fill="F3F6F2" w:val="clear"/>
            <w:tcMar>
              <w:top w:type="dxa" w:w="90"/>
              <w:left w:type="dxa" w:w="120"/>
              <w:bottom w:type="dxa" w:w="90"/>
              <w:right w:type="dxa" w:w="120"/>
            </w:tcMar>
          </w:tcPr>
          <w:p>
            <w:r>
              <w:rPr>
                <w:rFonts w:ascii="Calibri" w:cs="Calibri" w:eastAsia="Malgun Gothic" w:hAnsi="Calibri"/>
                <w:b/>
                <w:bCs/>
                <w:color w:val="1F4A2C"/>
                <w:sz w:val="18"/>
                <w:szCs w:val="18"/>
              </w:rPr>
              <w:t xml:space="preserve">Q5 – B</w:t>
            </w:r>
          </w:p>
        </w:tc>
        <w:tc>
          <w:tcPr>
            <w:tcW w:type="dxa" w:w="7862"/>
            <w:tcMar>
              <w:top w:type="dxa" w:w="90"/>
              <w:left w:type="dxa" w:w="120"/>
              <w:bottom w:type="dxa" w:w="90"/>
              <w:right w:type="dxa" w:w="120"/>
            </w:tcMar>
          </w:tcPr>
          <w:p>
            <w:r>
              <w:rPr>
                <w:rFonts w:ascii="Calibri" w:cs="Calibri" w:eastAsia="Malgun Gothic" w:hAnsi="Calibri"/>
                <w:sz w:val="18"/>
                <w:szCs w:val="18"/>
              </w:rPr>
              <w:t xml:space="preserve">과교정 — 방향은 알지만 목표 범위(6.0–6.5)를 모르면 반대로 답하게 됩니다.</w:t>
            </w:r>
          </w:p>
        </w:tc>
      </w:tr>
    </w:tbl>
    <w:p>
      <w:pPr>
        <w:spacing w:after="160" w:before="400"/>
      </w:pPr>
      <w:r>
        <w:rPr>
          <w:rFonts w:ascii="Cambria" w:cs="Cambria" w:eastAsia="Malgun Gothic" w:hAnsi="Cambria"/>
          <w:b/>
          <w:bCs/>
          <w:color w:val="1F4A2C"/>
          <w:sz w:val="26"/>
          <w:szCs w:val="26"/>
        </w:rPr>
        <w:t xml:space="preserve">Google Forms 설정 순서</w:t>
      </w:r>
    </w:p>
    <w:p>
      <w:pPr>
        <w:spacing w:after="100"/>
        <w:ind w:left="240" w:hanging="240"/>
      </w:pPr>
      <w:r>
        <w:rPr>
          <w:rFonts w:ascii="Calibri" w:cs="Calibri" w:eastAsia="Malgun Gothic" w:hAnsi="Calibri"/>
          <w:b/>
          <w:bCs/>
          <w:color w:val="6FA368"/>
          <w:sz w:val="20"/>
          <w:szCs w:val="20"/>
        </w:rPr>
        <w:t xml:space="preserve">1.  </w:t>
      </w:r>
      <w:r>
        <w:rPr>
          <w:rFonts w:ascii="Calibri" w:cs="Calibri" w:eastAsia="Malgun Gothic" w:hAnsi="Calibri"/>
          <w:sz w:val="20"/>
          <w:szCs w:val="20"/>
        </w:rPr>
        <w:t xml:space="preserve">설정 → 퀴즈로 만들기 켜기 → 문항별 20점 배정</w:t>
      </w:r>
    </w:p>
    <w:p>
      <w:pPr>
        <w:spacing w:after="100"/>
        <w:ind w:left="240" w:hanging="240"/>
      </w:pPr>
      <w:r>
        <w:rPr>
          <w:rFonts w:ascii="Calibri" w:cs="Calibri" w:eastAsia="Malgun Gothic" w:hAnsi="Calibri"/>
          <w:b/>
          <w:bCs/>
          <w:color w:val="6FA368"/>
          <w:sz w:val="20"/>
          <w:szCs w:val="20"/>
        </w:rPr>
        <w:t xml:space="preserve">2.  </w:t>
      </w:r>
      <w:r>
        <w:rPr>
          <w:rFonts w:ascii="Calibri" w:cs="Calibri" w:eastAsia="Malgun Gothic" w:hAnsi="Calibri"/>
          <w:sz w:val="20"/>
          <w:szCs w:val="20"/>
        </w:rPr>
        <w:t xml:space="preserve">각 문항 우하단 "답안 및 배점" → 정답 체크 → "답변 관련 의견"에 위 WHY 영문 해설 입력 (제출 즉시 학습 효과)</w:t>
      </w:r>
    </w:p>
    <w:p>
      <w:pPr>
        <w:spacing w:after="100"/>
        <w:ind w:left="240" w:hanging="240"/>
      </w:pPr>
      <w:r>
        <w:rPr>
          <w:rFonts w:ascii="Calibri" w:cs="Calibri" w:eastAsia="Malgun Gothic" w:hAnsi="Calibri"/>
          <w:b/>
          <w:bCs/>
          <w:color w:val="6FA368"/>
          <w:sz w:val="20"/>
          <w:szCs w:val="20"/>
        </w:rPr>
        <w:t xml:space="preserve">3.  </w:t>
      </w:r>
      <w:r>
        <w:rPr>
          <w:rFonts w:ascii="Calibri" w:cs="Calibri" w:eastAsia="Malgun Gothic" w:hAnsi="Calibri"/>
          <w:sz w:val="20"/>
          <w:szCs w:val="20"/>
        </w:rPr>
        <w:t xml:space="preserve">필수 질문 토글 ON</w:t>
      </w:r>
    </w:p>
    <w:p>
      <w:pPr>
        <w:spacing w:after="100"/>
        <w:ind w:left="240" w:hanging="240"/>
      </w:pPr>
      <w:r>
        <w:rPr>
          <w:rFonts w:ascii="Calibri" w:cs="Calibri" w:eastAsia="Malgun Gothic" w:hAnsi="Calibri"/>
          <w:b/>
          <w:bCs/>
          <w:color w:val="6FA368"/>
          <w:sz w:val="20"/>
          <w:szCs w:val="20"/>
        </w:rPr>
        <w:t xml:space="preserve">4.  </w:t>
      </w:r>
      <w:r>
        <w:rPr>
          <w:rFonts w:ascii="Calibri" w:cs="Calibri" w:eastAsia="Malgun Gothic" w:hAnsi="Calibri"/>
          <w:sz w:val="20"/>
          <w:szCs w:val="20"/>
        </w:rPr>
        <w:t xml:space="preserve">응답 → Google Sheets 연결 → 참가자 20명 문항별 정답률 집계</w:t>
      </w:r>
    </w:p>
    <w:p>
      <w:pPr>
        <w:spacing w:after="100"/>
        <w:ind w:left="240" w:hanging="240"/>
      </w:pPr>
      <w:r>
        <w:rPr>
          <w:rFonts w:ascii="Calibri" w:cs="Calibri" w:eastAsia="Malgun Gothic" w:hAnsi="Calibri"/>
          <w:b/>
          <w:bCs/>
          <w:color w:val="6FA368"/>
          <w:sz w:val="20"/>
          <w:szCs w:val="20"/>
        </w:rPr>
        <w:t xml:space="preserve">5.  </w:t>
      </w:r>
      <w:r>
        <w:rPr>
          <w:rFonts w:ascii="Calibri" w:cs="Calibri" w:eastAsia="Malgun Gothic" w:hAnsi="Calibri"/>
          <w:sz w:val="20"/>
          <w:szCs w:val="20"/>
        </w:rPr>
        <w:t xml:space="preserve">오답률 50% 초과 문항 = 사후 온라인 보충자료의 주제</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5C665F"/>
        <w:sz w:val="15"/>
        <w:szCs w:val="15"/>
      </w:rPr>
      <w:t xml:space="preserve">Answer Key — CONFIDENTIAL     </w:t>
    </w:r>
    <w:r>
      <w:rPr>
        <w:rFonts w:ascii="Calibri" w:cs="Calibri" w:eastAsia="Malgun Gothic" w:hAnsi="Calibri"/>
        <w:color w:val="5C665F"/>
        <w:sz w:val="15"/>
        <w:szCs w:val="15"/>
      </w:rPr>
      <w:t xml:space="preserve">Page </w:t>
    </w:r>
    <w:r>
      <w:rPr>
        <w:rFonts w:ascii="Calibri" w:cs="Calibri" w:eastAsia="Malgun Gothic" w:hAnsi="Calibri"/>
        <w:color w:val="5C665F"/>
        <w:sz w:val="15"/>
        <w:szCs w:val="15"/>
      </w:rPr>
      <w:fldChar w:fldCharType="begin"/>
      <w:instrText xml:space="preserve">PAGE</w:instrText>
      <w:fldChar w:fldCharType="separate"/>
      <w:fldChar w:fldCharType="end"/>
    </w:r>
    <w:r>
      <w:rPr>
        <w:rFonts w:ascii="Calibri" w:cs="Calibri" w:eastAsia="Malgun Gothic" w:hAnsi="Calibri"/>
        <w:color w:val="5C665F"/>
        <w:sz w:val="15"/>
        <w:szCs w:val="15"/>
      </w:rPr>
      <w:t xml:space="preserve"> of </w:t>
    </w:r>
    <w:r>
      <w:rPr>
        <w:rFonts w:ascii="Calibri" w:cs="Calibri" w:eastAsia="Malgun Gothic" w:hAnsi="Calibri"/>
        <w:color w:val="5C66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Assessment Answer Key — Philippines AI Technician Training</dc:title>
  <dc:creator>Dr. Hyunje Ha, DVM</dc:creator>
  <cp:lastModifiedBy>Un-named</cp:lastModifiedBy>
  <cp:revision>1</cp:revision>
  <dcterms:created xsi:type="dcterms:W3CDTF">2026-09-12T15:48:53.274Z</dcterms:created>
  <dcterms:modified xsi:type="dcterms:W3CDTF">2026-09-12T15:48:53.274Z</dcterms:modified>
</cp:coreProperties>
</file>

<file path=docProps/custom.xml><?xml version="1.0" encoding="utf-8"?>
<Properties xmlns="http://schemas.openxmlformats.org/officeDocument/2006/custom-properties" xmlns:vt="http://schemas.openxmlformats.org/officeDocument/2006/docPropsVTypes"/>
</file>