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commentRangeStart w:id="0"/>
      <w:r>
        <w:rPr>
          <w:rFonts w:ascii="Times New Roman" w:hAnsi="Times New Roman" w:cs="Times New Roman"/>
        </w:rPr>
        <w:t>Timing of testosterone suppression and recovery with GnRH antagonists in a registry analysis of prostate cancer trials</w:t>
      </w:r>
      <w:commentRangeEnd w:id="0"/>
      <w:r>
        <w:rPr>
          <w:rStyle w:val="CommentReference"/>
          <w:rFonts w:ascii="Times New Roman" w:hAnsi="Times New Roman" w:cs="Times New Roman"/>
        </w:rPr>
        <w:commentReference w:id="0"/>
      </w:r>
    </w:p>
    <w:p>
      <w:pPr>
        <w:pStyle w:val="Heading1"/>
      </w:pPr>
      <w:r>
        <w:rPr>
          <w:rFonts w:ascii="Times New Roman" w:hAnsi="Times New Roman" w:cs="Times New Roman"/>
        </w:rPr>
        <w:t>Supplementary Materials</w:t>
      </w:r>
    </w:p>
    <w:p>
      <w:pPr>
        <w:pStyle w:val="Caption"/>
        <w:keepNext/>
        <w:spacing w:line="240" w:lineRule="auto" w:before="240" w:after="80"/>
      </w:pPr>
      <w:r>
        <w:rPr>
          <w:rFonts w:ascii="Times New Roman" w:hAnsi="Times New Roman" w:eastAsia="Times New Roman" w:cs="Times New Roman"/>
          <w:b/>
          <w:i w:val="0"/>
          <w:sz w:val="20"/>
        </w:rPr>
        <w:t>Supplementary Table S1. Consequential source metadata issues and analytical decisions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3672"/>
        <w:gridCol w:w="3672"/>
      </w:tblGrid>
      <w:tr>
        <w:trPr>
          <w:tblHeader/>
          <w:cantSplit/>
          <w:tblHeader/>
        </w:trPr>
        <w:tc>
          <w:tcPr>
            <w:tcW w:type="dxa" w:w="1656"/>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left"/>
            </w:pPr>
            <w:r>
              <w:rPr>
                <w:rFonts w:ascii="Times New Roman" w:hAnsi="Times New Roman" w:cs="Times New Roman"/>
                <w:b/>
                <w:sz w:val="20"/>
              </w:rPr>
              <w:t>Trial</w:t>
            </w:r>
          </w:p>
        </w:tc>
        <w:tc>
          <w:tcPr>
            <w:tcW w:type="dxa" w:w="3672"/>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left"/>
            </w:pPr>
            <w:r>
              <w:rPr>
                <w:rFonts w:ascii="Times New Roman" w:hAnsi="Times New Roman" w:cs="Times New Roman"/>
                <w:b/>
                <w:sz w:val="20"/>
              </w:rPr>
              <w:t>Issue</w:t>
            </w:r>
          </w:p>
        </w:tc>
        <w:tc>
          <w:tcPr>
            <w:tcW w:type="dxa" w:w="3672"/>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left"/>
            </w:pPr>
            <w:r>
              <w:rPr>
                <w:rFonts w:ascii="Times New Roman" w:hAnsi="Times New Roman" w:cs="Times New Roman"/>
                <w:b/>
                <w:sz w:val="20"/>
              </w:rPr>
              <w:t>Analysis action</w:t>
            </w:r>
          </w:p>
        </w:tc>
      </w:tr>
      <w:tr>
        <w:trPr>
          <w:cantSplit/>
        </w:trPr>
        <w:tc>
          <w:tcPr>
            <w:tcW w:type="dxa" w:w="1656"/>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HERO</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Full enrollment 1134 versus primary exposed population 930</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Use endpoint population 622 versus 308</w:t>
            </w:r>
          </w:p>
        </w:tc>
      </w:tr>
      <w:tr>
        <w:trPr>
          <w:cantSplit/>
        </w:trPr>
        <w:tc>
          <w:tcPr>
            <w:tcW w:type="dxa" w:w="1656"/>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HERO recovery</w:t>
            </w:r>
          </w:p>
        </w:tc>
        <w:tc>
          <w:tcPr>
            <w:tcW w:type="dxa" w:w="3672"/>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Whole efficacy denominator repeated for a selected follow up subset</w:t>
            </w:r>
          </w:p>
        </w:tc>
        <w:tc>
          <w:tcPr>
            <w:tcW w:type="dxa" w:w="3672"/>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Retain KM estimates and CIs; do not reconstruct counts</w:t>
            </w:r>
          </w:p>
        </w:tc>
      </w:tr>
      <w:tr>
        <w:trPr>
          <w:cantSplit/>
        </w:trPr>
        <w:tc>
          <w:tcPr>
            <w:tcW w:type="dxa" w:w="1656"/>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CS21</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Sustained contrast has 97.5% confidence interval</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Retain confidence level; no relabeling</w:t>
            </w:r>
          </w:p>
        </w:tc>
      </w:tr>
      <w:tr>
        <w:trPr>
          <w:cantSplit/>
        </w:trPr>
        <w:tc>
          <w:tcPr>
            <w:tcW w:type="dxa" w:w="1656"/>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CS35</w:t>
            </w:r>
          </w:p>
        </w:tc>
        <w:tc>
          <w:tcPr>
            <w:tcW w:type="dxa" w:w="3672"/>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Day 3 to 364 differs from day 28 maintenance</w:t>
            </w:r>
          </w:p>
        </w:tc>
        <w:tc>
          <w:tcPr>
            <w:tcW w:type="dxa" w:w="3672"/>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Separate induction inclusive endpoint</w:t>
            </w:r>
          </w:p>
        </w:tc>
      </w:tr>
      <w:tr>
        <w:trPr>
          <w:cantSplit/>
        </w:trPr>
        <w:tc>
          <w:tcPr>
            <w:tcW w:type="dxa" w:w="1656"/>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CS30 and CS31</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Prostate volume units say milliliter but values are percentage reductions</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Retain raw fields; reconcile against primary publications</w:t>
            </w:r>
          </w:p>
        </w:tc>
      </w:tr>
      <w:tr>
        <w:trPr>
          <w:cantSplit/>
        </w:trPr>
        <w:tc>
          <w:tcPr>
            <w:tcW w:type="dxa" w:w="1656"/>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REVELUTION</w:t>
            </w:r>
          </w:p>
        </w:tc>
        <w:tc>
          <w:tcPr>
            <w:tcW w:type="dxa" w:w="3672"/>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Testosterone field says ng/mL while description says ng/dL</w:t>
            </w:r>
          </w:p>
        </w:tc>
        <w:tc>
          <w:tcPr>
            <w:tcW w:type="dxa" w:w="3672"/>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Exclude ambiguous scale from harmonized endocrine estimates</w:t>
            </w:r>
          </w:p>
        </w:tc>
      </w:tr>
      <w:tr>
        <w:trPr>
          <w:cantSplit/>
        </w:trPr>
        <w:tc>
          <w:tcPr>
            <w:tcW w:type="dxa" w:w="1656"/>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C27002</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Observational cohort wording conflicts with random allocation description</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Include with design flag and retain separate estimate</w:t>
            </w:r>
          </w:p>
        </w:tc>
      </w:tr>
      <w:tr>
        <w:trPr>
          <w:cantSplit/>
        </w:trPr>
        <w:tc>
          <w:tcPr>
            <w:tcW w:type="dxa" w:w="1656"/>
            <w:vAlign w:val="center"/>
            <w:tcMar>
              <w:top w:w="65" w:type="dxa"/>
              <w:bottom w:w="65" w:type="dxa"/>
              <w:left w:w="65" w:type="dxa"/>
              <w:right w:w="65" w:type="dxa"/>
            </w:tcMar>
            <w:shd w:fill="F5F8FA"/>
            <w:tcBorders>
              <w:top w:val="nil"/>
              <w:left w:val="nil"/>
              <w:bottom w:val="single" w:sz="10" w:color="000000"/>
              <w:right w:val="nil"/>
              <w:insideH w:val="nil"/>
              <w:insideV w:val="nil"/>
            </w:tcBorders>
          </w:tcPr>
          <w:p>
            <w:pPr>
              <w:keepNext/>
              <w:widowControl/>
              <w:spacing w:line="240" w:lineRule="auto" w:after="60" w:before="60"/>
              <w:jc w:val="left"/>
            </w:pPr>
            <w:r>
              <w:rPr>
                <w:rFonts w:ascii="Times New Roman" w:hAnsi="Times New Roman" w:cs="Times New Roman"/>
                <w:b w:val="0"/>
                <w:sz w:val="20"/>
              </w:rPr>
              <w:t>PRONOUNCE</w:t>
            </w:r>
          </w:p>
        </w:tc>
        <w:tc>
          <w:tcPr>
            <w:tcW w:type="dxa" w:w="3672"/>
            <w:vAlign w:val="center"/>
            <w:tcMar>
              <w:top w:w="65" w:type="dxa"/>
              <w:bottom w:w="65" w:type="dxa"/>
              <w:left w:w="65" w:type="dxa"/>
              <w:right w:w="65" w:type="dxa"/>
            </w:tcMar>
            <w:shd w:fill="F5F8FA"/>
            <w:tcBorders>
              <w:top w:val="nil"/>
              <w:left w:val="nil"/>
              <w:bottom w:val="single" w:sz="10" w:color="000000"/>
              <w:right w:val="nil"/>
              <w:insideH w:val="nil"/>
              <w:insideV w:val="nil"/>
            </w:tcBorders>
          </w:tcPr>
          <w:p>
            <w:pPr>
              <w:keepNext/>
              <w:widowControl/>
              <w:spacing w:line="240" w:lineRule="auto" w:after="60" w:before="60"/>
              <w:jc w:val="left"/>
            </w:pPr>
            <w:r>
              <w:rPr>
                <w:rFonts w:ascii="Times New Roman" w:hAnsi="Times New Roman" w:cs="Times New Roman"/>
                <w:b w:val="0"/>
                <w:sz w:val="20"/>
              </w:rPr>
              <w:t>Specified CV endpoint events excluded from SAE reporting</w:t>
            </w:r>
          </w:p>
        </w:tc>
        <w:tc>
          <w:tcPr>
            <w:tcW w:type="dxa" w:w="3672"/>
            <w:vAlign w:val="center"/>
            <w:tcMar>
              <w:top w:w="65" w:type="dxa"/>
              <w:bottom w:w="65" w:type="dxa"/>
              <w:left w:w="65" w:type="dxa"/>
              <w:right w:w="65" w:type="dxa"/>
            </w:tcMar>
            <w:shd w:fill="F5F8FA"/>
            <w:tcBorders>
              <w:top w:val="nil"/>
              <w:left w:val="nil"/>
              <w:bottom w:val="single" w:sz="10" w:color="000000"/>
              <w:right w:val="nil"/>
              <w:insideH w:val="nil"/>
              <w:insideV w:val="nil"/>
            </w:tcBorders>
          </w:tcPr>
          <w:p>
            <w:pPr>
              <w:keepNext/>
              <w:widowControl/>
              <w:spacing w:line="240" w:lineRule="auto" w:after="60" w:before="60"/>
              <w:jc w:val="left"/>
            </w:pPr>
            <w:r>
              <w:rPr>
                <w:rFonts w:ascii="Times New Roman" w:hAnsi="Times New Roman" w:cs="Times New Roman"/>
                <w:b w:val="0"/>
                <w:sz w:val="20"/>
              </w:rPr>
              <w:t>Display trial specific SAE values; no pooled safety claim</w:t>
            </w:r>
          </w:p>
        </w:tc>
      </w:tr>
    </w:tbl>
    <w:p>
      <w:pPr>
        <w:pStyle w:val="Caption"/>
        <w:keepNext w:val="0"/>
        <w:spacing w:before="80" w:line="240" w:lineRule="auto" w:after="240"/>
      </w:pPr>
      <w:r>
        <w:rPr>
          <w:rFonts w:ascii="Times New Roman" w:hAnsi="Times New Roman" w:eastAsia="Times New Roman" w:cs="Times New Roman"/>
          <w:b w:val="0"/>
          <w:i/>
          <w:sz w:val="20"/>
        </w:rPr>
        <w:t>Original registry labels and values were distinguished from the analytical interpretation. CS30/CS31 prostate-volume units were reconciled with the primary reports [44,46]; ambiguous REVELUTION hormone units were excluded from harmonized endocrine estimates. C27002 was retained using its detailed random-allocation description, but conflicts involving the observational-cohort title and masking fields require protocol-level confirmation [38].</w:t>
      </w:r>
    </w:p>
    <w:p>
      <w:pPr>
        <w:pStyle w:val="Caption"/>
        <w:keepNext/>
        <w:spacing w:line="240" w:lineRule="auto" w:before="240" w:after="80"/>
      </w:pPr>
      <w:r>
        <w:rPr>
          <w:rFonts w:ascii="Times New Roman" w:hAnsi="Times New Roman" w:eastAsia="Times New Roman" w:cs="Times New Roman"/>
          <w:b/>
          <w:i w:val="0"/>
          <w:sz w:val="20"/>
        </w:rPr>
        <w:t>Supplementary Table S2. Clinical interpretation by outcome domain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3672"/>
        <w:gridCol w:w="3672"/>
      </w:tblGrid>
      <w:tr>
        <w:trPr>
          <w:tblHeader/>
          <w:cantSplit/>
          <w:tblHeader/>
        </w:trPr>
        <w:tc>
          <w:tcPr>
            <w:tcW w:type="dxa" w:w="1656"/>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left"/>
            </w:pPr>
            <w:r>
              <w:rPr>
                <w:rFonts w:ascii="Times New Roman" w:hAnsi="Times New Roman" w:cs="Times New Roman"/>
                <w:b/>
                <w:sz w:val="20"/>
              </w:rPr>
              <w:t>Domain</w:t>
            </w:r>
          </w:p>
        </w:tc>
        <w:tc>
          <w:tcPr>
            <w:tcW w:type="dxa" w:w="3672"/>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left"/>
            </w:pPr>
            <w:r>
              <w:rPr>
                <w:rFonts w:ascii="Times New Roman" w:hAnsi="Times New Roman" w:cs="Times New Roman"/>
                <w:b/>
                <w:sz w:val="20"/>
              </w:rPr>
              <w:t>Evidence</w:t>
            </w:r>
          </w:p>
        </w:tc>
        <w:tc>
          <w:tcPr>
            <w:tcW w:type="dxa" w:w="3672"/>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left"/>
            </w:pPr>
            <w:r>
              <w:rPr>
                <w:rFonts w:ascii="Times New Roman" w:hAnsi="Times New Roman" w:cs="Times New Roman"/>
                <w:b/>
                <w:sz w:val="20"/>
              </w:rPr>
              <w:t>Clinical interpretation</w:t>
            </w:r>
          </w:p>
        </w:tc>
      </w:tr>
      <w:tr>
        <w:trPr>
          <w:cantSplit/>
        </w:trPr>
        <w:tc>
          <w:tcPr>
            <w:tcW w:type="dxa" w:w="1656"/>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Early biochemical control</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Replicated in CS21 and HERO with differing assessment days</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Supports discussing speed and biochemical surge when selecting ADT</w:t>
            </w:r>
          </w:p>
        </w:tc>
      </w:tr>
      <w:tr>
        <w:trPr>
          <w:cantSplit/>
        </w:trPr>
        <w:tc>
          <w:tcPr>
            <w:tcW w:type="dxa" w:w="1656"/>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Later maintenance</w:t>
            </w:r>
          </w:p>
        </w:tc>
        <w:tc>
          <w:tcPr>
            <w:tcW w:type="dxa" w:w="3672"/>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High rates in both arms in CS21; larger HERO overall window contrast</w:t>
            </w:r>
          </w:p>
        </w:tc>
        <w:tc>
          <w:tcPr>
            <w:tcW w:type="dxa" w:w="3672"/>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Interpret each molecule and time window separately</w:t>
            </w:r>
          </w:p>
        </w:tc>
      </w:tr>
      <w:tr>
        <w:trPr>
          <w:cantSplit/>
        </w:trPr>
        <w:tc>
          <w:tcPr>
            <w:tcW w:type="dxa" w:w="1656"/>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Off treatment recovery</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HERO selected subset supports faster relugolix recovery</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Inform finite treatment discussions without claiming class wide recovery</w:t>
            </w:r>
          </w:p>
        </w:tc>
      </w:tr>
      <w:tr>
        <w:trPr>
          <w:cantSplit/>
        </w:trPr>
        <w:tc>
          <w:tcPr>
            <w:tcW w:type="dxa" w:w="1656"/>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Urinary symptoms</w:t>
            </w:r>
          </w:p>
        </w:tc>
        <w:tc>
          <w:tcPr>
            <w:tcW w:type="dxa" w:w="3672"/>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Three small trials; modified HKSJ interval crosses zero</w:t>
            </w:r>
          </w:p>
        </w:tc>
        <w:tc>
          <w:tcPr>
            <w:tcW w:type="dxa" w:w="3672"/>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Additional clinical benefit remains uncertain</w:t>
            </w:r>
          </w:p>
        </w:tc>
      </w:tr>
      <w:tr>
        <w:trPr>
          <w:cantSplit/>
        </w:trPr>
        <w:tc>
          <w:tcPr>
            <w:tcW w:type="dxa" w:w="1656"/>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Cardiovascular safety</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Different endpoint definitions and incomplete ascertainment</w:t>
            </w:r>
          </w:p>
        </w:tc>
        <w:tc>
          <w:tcPr>
            <w:tcW w:type="dxa" w:w="367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No cardiovascular superiority claim</w:t>
            </w:r>
          </w:p>
        </w:tc>
      </w:tr>
      <w:tr>
        <w:trPr>
          <w:cantSplit/>
        </w:trPr>
        <w:tc>
          <w:tcPr>
            <w:tcW w:type="dxa" w:w="1656"/>
            <w:vAlign w:val="center"/>
            <w:tcMar>
              <w:top w:w="65" w:type="dxa"/>
              <w:bottom w:w="65" w:type="dxa"/>
              <w:left w:w="65" w:type="dxa"/>
              <w:right w:w="65" w:type="dxa"/>
            </w:tcMar>
            <w:shd w:fill="F5F8FA"/>
            <w:tcBorders>
              <w:top w:val="nil"/>
              <w:left w:val="nil"/>
              <w:bottom w:val="single" w:sz="10" w:color="000000"/>
              <w:right w:val="nil"/>
              <w:insideH w:val="nil"/>
              <w:insideV w:val="nil"/>
            </w:tcBorders>
          </w:tcPr>
          <w:p>
            <w:pPr>
              <w:keepNext/>
              <w:widowControl/>
              <w:spacing w:line="240" w:lineRule="auto" w:after="60" w:before="60"/>
              <w:jc w:val="left"/>
            </w:pPr>
            <w:r>
              <w:rPr>
                <w:rFonts w:ascii="Times New Roman" w:hAnsi="Times New Roman" w:cs="Times New Roman"/>
                <w:b w:val="0"/>
                <w:sz w:val="20"/>
              </w:rPr>
              <w:t>Patient level treatment selection</w:t>
            </w:r>
          </w:p>
        </w:tc>
        <w:tc>
          <w:tcPr>
            <w:tcW w:type="dxa" w:w="3672"/>
            <w:vAlign w:val="center"/>
            <w:tcMar>
              <w:top w:w="65" w:type="dxa"/>
              <w:bottom w:w="65" w:type="dxa"/>
              <w:left w:w="65" w:type="dxa"/>
              <w:right w:w="65" w:type="dxa"/>
            </w:tcMar>
            <w:shd w:fill="F5F8FA"/>
            <w:tcBorders>
              <w:top w:val="nil"/>
              <w:left w:val="nil"/>
              <w:bottom w:val="single" w:sz="10" w:color="000000"/>
              <w:right w:val="nil"/>
              <w:insideH w:val="nil"/>
              <w:insideV w:val="nil"/>
            </w:tcBorders>
          </w:tcPr>
          <w:p>
            <w:pPr>
              <w:keepNext/>
              <w:widowControl/>
              <w:spacing w:line="240" w:lineRule="auto" w:after="60" w:before="60"/>
              <w:jc w:val="left"/>
            </w:pPr>
            <w:r>
              <w:rPr>
                <w:rFonts w:ascii="Times New Roman" w:hAnsi="Times New Roman" w:cs="Times New Roman"/>
                <w:b w:val="0"/>
                <w:sz w:val="20"/>
              </w:rPr>
              <w:t>Individual records unavailable</w:t>
            </w:r>
          </w:p>
        </w:tc>
        <w:tc>
          <w:tcPr>
            <w:tcW w:type="dxa" w:w="3672"/>
            <w:vAlign w:val="center"/>
            <w:tcMar>
              <w:top w:w="65" w:type="dxa"/>
              <w:bottom w:w="65" w:type="dxa"/>
              <w:left w:w="65" w:type="dxa"/>
              <w:right w:w="65" w:type="dxa"/>
            </w:tcMar>
            <w:shd w:fill="F5F8FA"/>
            <w:tcBorders>
              <w:top w:val="nil"/>
              <w:left w:val="nil"/>
              <w:bottom w:val="single" w:sz="10" w:color="000000"/>
              <w:right w:val="nil"/>
              <w:insideH w:val="nil"/>
              <w:insideV w:val="nil"/>
            </w:tcBorders>
          </w:tcPr>
          <w:p>
            <w:pPr>
              <w:keepNext/>
              <w:widowControl/>
              <w:spacing w:line="240" w:lineRule="auto" w:after="60" w:before="60"/>
              <w:jc w:val="left"/>
            </w:pPr>
            <w:r>
              <w:rPr>
                <w:rFonts w:ascii="Times New Roman" w:hAnsi="Times New Roman" w:cs="Times New Roman"/>
                <w:b w:val="0"/>
                <w:sz w:val="20"/>
              </w:rPr>
              <w:t>No validated prediction score or individual net benefit model</w:t>
            </w:r>
          </w:p>
        </w:tc>
      </w:tr>
    </w:tbl>
    <w:p>
      <w:pPr>
        <w:pStyle w:val="Caption"/>
        <w:keepNext w:val="0"/>
        <w:spacing w:before="80" w:line="240" w:lineRule="auto" w:after="240"/>
      </w:pPr>
      <w:r>
        <w:rPr>
          <w:rFonts w:ascii="Times New Roman" w:hAnsi="Times New Roman" w:eastAsia="Times New Roman" w:cs="Times New Roman"/>
          <w:b w:val="0"/>
          <w:i/>
          <w:sz w:val="20"/>
        </w:rPr>
        <w:t>This matrix separates observed pharmacodynamic findings from unvalidated individual treatment-selection and clinical-outcome claims. It is not a formal GRADE assessment or a prediction rule.</w:t>
      </w:r>
    </w:p>
    <w:p>
      <w:pPr>
        <w:pStyle w:val="Heading1"/>
      </w:pPr>
      <w:r>
        <w:rPr>
          <w:rFonts w:ascii="Times New Roman" w:hAnsi="Times New Roman" w:cs="Times New Roman"/>
        </w:rPr>
        <w:t>References</w:t>
      </w:r>
    </w:p>
    <w:p>
      <w:pPr>
        <w:spacing w:after="100" w:line="240" w:lineRule="auto"/>
      </w:pPr>
      <w:r>
        <w:rPr>
          <w:rFonts w:ascii="Times New Roman" w:hAnsi="Times New Roman" w:eastAsia="Times New Roman" w:cs="Times New Roman"/>
          <w:sz w:val="19"/>
        </w:rPr>
        <w:t>38. ClinicalTrials.gov. A Phase 2 Study to Evaluate the Safety and Efficacy of TAK-385, Together With a Leuprorelin Observational Cohort, in Participants With Prostate Cancer. NCT02083185. Registry record and posted aggregate results. Accessed 16 October 2026. https://clinicaltrials.gov/study/NCT02083185</w:t>
      </w:r>
    </w:p>
    <w:p>
      <w:pPr>
        <w:spacing w:after="100" w:line="240" w:lineRule="auto"/>
      </w:pPr>
      <w:r>
        <w:rPr>
          <w:rFonts w:ascii="Times New Roman" w:hAnsi="Times New Roman" w:eastAsia="Times New Roman" w:cs="Times New Roman"/>
          <w:sz w:val="19"/>
        </w:rPr>
        <w:t>44. Axcrona K, Aaltomaa S, da Silva CM, Ozen H, Damber JE, Tankó LB, et al. Androgen deprivation therapy for volume reduction, lower urinary tract symptom relief and quality of life improvement in patients with prostate cancer: degarelix vs goserelin plus bicalutamide. BJU Int. 2012;110(11):1721-1728. doi:10.1111/j.1464-410X.2012.11107.x. PMID:22500884.</w:t>
      </w:r>
    </w:p>
    <w:p>
      <w:pPr>
        <w:spacing w:after="100" w:line="240" w:lineRule="auto"/>
      </w:pPr>
      <w:r>
        <w:rPr>
          <w:rFonts w:ascii="Times New Roman" w:hAnsi="Times New Roman" w:eastAsia="Times New Roman" w:cs="Times New Roman"/>
          <w:sz w:val="19"/>
        </w:rPr>
        <w:t>46. Mason M, Maldonado Pijoan X, Steidle C, Guerif S, Wiegel T, van der Meulen E, et al. Neoadjuvant androgen deprivation therapy for prostate volume reduction, lower urinary tract symptom relief and quality of life improvement in men with intermediate- to high-risk prostate cancer: a randomised non-inferiority trial of degarelix versus goserelin plus bicalutamide. Clin Oncol (R Coll Radiol). 2013;25(3):190-196. doi:10.1016/j.clon.2012.09.010. PMID:23257248.</w:t>
      </w:r>
    </w:p>
    <w:sectPr w:rsidR="00FC693F" w:rsidRPr="0006063C" w:rsidSect="00034616">
      <w:pgSz w:w="12240" w:h="15840"/>
      <w:pgMar w:top="1008" w:right="1152" w:bottom="1008" w:left="1152"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Original Table 6 is Supplementary Table S1; original Table 7 is S2. All source cells are retained. C27002 allocation/masking conflicts require protocol confirmation. Publication references retain their original manuscript numbers.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eastAsiaTheme="majorEastAsia"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eastAsiaTheme="majorEastAsia"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rPr>
      <w:rFonts w:ascii="Times New Roman" w:hAnsi="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eastAsiaTheme="majorEastAsia"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eastAsiaTheme="majorEastAsia"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eastAsiaTheme="majorEastAsia" w:ascii="Times New Roman" w:hAnsi="Times New Roman" w:cs="Times New Roman"/>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eastAsiaTheme="majorEastAsia" w:ascii="Times New Roman" w:hAnsi="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eastAsiaTheme="majorEastAsia"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eastAsiaTheme="majorEastAsia"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eastAsiaTheme="majorEastAsia"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eastAsiaTheme="majorEastAsia"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eastAsiaTheme="majorEastAsia"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eastAsiaTheme="majorEastAsia"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eastAsiaTheme="majorEastAsia"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eastAsiaTheme="majorEastAsia"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b/>
      <w:bCs/>
      <w:i w:val="0"/>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for the GnRH timing manuscript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