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commentRangeStart w:id="0"/>
      <w:r>
        <w:rPr>
          <w:rFonts w:ascii="Times New Roman" w:hAnsi="Times New Roman" w:cs="Times New Roman"/>
        </w:rPr>
        <w:t>Public registry evidence on cytomegalovirus prevention and hematologic tolerability with letermovir after kidney transplantation</w:t>
      </w:r>
      <w:commentRangeEnd w:id="0"/>
      <w:r>
        <w:rPr>
          <w:rStyle w:val="CommentReference"/>
        </w:rPr>
        <w:commentReference w:id="0"/>
      </w:r>
    </w:p>
    <w:p>
      <w:pPr>
        <w:pStyle w:val="Heading1"/>
      </w:pPr>
      <w:r>
        <w:rPr>
          <w:rFonts w:ascii="Times New Roman" w:hAnsi="Times New Roman" w:cs="Times New Roman"/>
        </w:rPr>
        <w:t>Supplementary Materials</w:t>
      </w:r>
    </w:p>
    <w:p>
      <w:pPr>
        <w:pStyle w:val="Caption"/>
        <w:keepNext/>
        <w:spacing w:before="240" w:after="80"/>
      </w:pPr>
      <w:r>
        <w:rPr>
          <w:rFonts w:ascii="Times New Roman" w:hAnsi="Times New Roman" w:cs="Times New Roman"/>
          <w:b/>
          <w:i w:val="0"/>
          <w:sz w:val="20"/>
        </w:rPr>
        <w:t>Supplementary Table S1  Endpoint interpretation and clinical application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44"/>
        <w:gridCol w:w="3960"/>
        <w:gridCol w:w="3744"/>
      </w:tblGrid>
      <w:tr>
        <w:trPr>
          <w:tblHeader/>
          <w:cantSplit/>
          <w:tblHeader/>
        </w:trPr>
        <w:tc>
          <w:tcPr>
            <w:tcW w:type="dxa" w:w="1944"/>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Issue</w:t>
            </w:r>
          </w:p>
        </w:tc>
        <w:tc>
          <w:tcPr>
            <w:tcW w:type="dxa" w:w="3960"/>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Supported interpretation</w:t>
            </w:r>
          </w:p>
        </w:tc>
        <w:tc>
          <w:tcPr>
            <w:tcW w:type="dxa" w:w="3744"/>
            <w:vAlign w:val="center"/>
            <w:tcBorders>
              <w:top w:val="single" w:sz="10" w:color="000000"/>
              <w:left w:val="nil"/>
              <w:bottom w:val="single" w:sz="8" w:color="000000"/>
              <w:right w:val="nil"/>
              <w:insideH w:val="nil"/>
              <w:insideV w:val="nil"/>
            </w:tcBorders>
          </w:tcPr>
          <w:p>
            <w:pPr>
              <w:keepNext w:val="0"/>
              <w:widowControl/>
              <w:spacing w:after="60" w:before="60" w:line="240" w:lineRule="auto"/>
            </w:pPr>
            <w:r>
              <w:rPr>
                <w:rFonts w:ascii="Times New Roman" w:hAnsi="Times New Roman" w:cs="Times New Roman"/>
                <w:b/>
                <w:sz w:val="20"/>
              </w:rPr>
              <w:t>Boundary</w:t>
            </w:r>
          </w:p>
        </w:tc>
      </w:tr>
      <w:tr>
        <w:trPr>
          <w:cantSplit/>
        </w:trPr>
        <w:tc>
          <w:tcPr>
            <w:tcW w:type="dxa" w:w="19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Primary prevention</w:t>
            </w:r>
          </w:p>
        </w:tc>
        <w:tc>
          <w:tcPr>
            <w:tcW w:type="dxa" w:w="396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Randomized noninferiority supports the studied D+/R- adult indication</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Not superior CMV prevention, allograft benefit, or treatment of active infection</w:t>
            </w:r>
          </w:p>
        </w:tc>
      </w:tr>
      <w:tr>
        <w:trPr>
          <w:cantSplit/>
        </w:trPr>
        <w:tc>
          <w:tcPr>
            <w:tcW w:type="dxa" w:w="19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Hematologic safety</w:t>
            </w:r>
          </w:p>
        </w:tc>
        <w:tc>
          <w:tcPr>
            <w:tcW w:type="dxa" w:w="396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Native named nonserious terms favor letermovir for leukopenia and neutropenia</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The 28-week AE/laboratory composite is different and is not reconstructed</w:t>
            </w:r>
          </w:p>
        </w:tc>
      </w:tr>
      <w:tr>
        <w:trPr>
          <w:cantSplit/>
        </w:trPr>
        <w:tc>
          <w:tcPr>
            <w:tcW w:type="dxa" w:w="19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Analysis populations</w:t>
            </w:r>
          </w:p>
        </w:tc>
        <w:tc>
          <w:tcPr>
            <w:tcW w:type="dxa" w:w="396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301/300 randomized; 292/297 treated; 289/297 efficacy</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Excluded or unevaluable participants cannot simply be assigned invented outcomes</w:t>
            </w:r>
          </w:p>
        </w:tc>
      </w:tr>
      <w:tr>
        <w:trPr>
          <w:cantSplit/>
        </w:trPr>
        <w:tc>
          <w:tcPr>
            <w:tcW w:type="dxa" w:w="19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Treatment stopping</w:t>
            </w:r>
          </w:p>
        </w:tc>
        <w:tc>
          <w:tcPr>
            <w:tcW w:type="dxa" w:w="396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Published prophylaxis discontinuation can differ from overall study completion</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The public randomized flow measures follow-up retention, not medication adherence</w:t>
            </w:r>
          </w:p>
        </w:tc>
      </w:tr>
      <w:tr>
        <w:trPr>
          <w:cantSplit/>
        </w:trPr>
        <w:tc>
          <w:tcPr>
            <w:tcW w:type="dxa" w:w="19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Regimen context</w:t>
            </w:r>
          </w:p>
        </w:tc>
        <w:tc>
          <w:tcPr>
            <w:tcW w:type="dxa" w:w="396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Letermovir plus acyclovir was compared with valganciclovir</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HSV/VZV coverage and immunosuppressant interactions require attention</w:t>
            </w:r>
          </w:p>
        </w:tc>
      </w:tr>
      <w:tr>
        <w:trPr>
          <w:cantSplit/>
        </w:trPr>
        <w:tc>
          <w:tcPr>
            <w:tcW w:type="dxa" w:w="19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Geography and extension</w:t>
            </w:r>
          </w:p>
        </w:tc>
        <w:tc>
          <w:tcPr>
            <w:tcW w:type="dxa" w:w="3960"/>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Japan supplies small noncomparative prospective data; China has a registered study</w:t>
            </w:r>
          </w:p>
        </w:tc>
        <w:tc>
          <w:tcPr>
            <w:tcW w:type="dxa" w:w="3744"/>
            <w:vAlign w:val="center"/>
            <w:tcBorders>
              <w:top w:val="nil"/>
              <w:left w:val="nil"/>
              <w:bottom w:val="nil"/>
              <w:right w:val="nil"/>
              <w:insideH w:val="nil"/>
              <w:insideV w:val="nil"/>
            </w:tcBorders>
          </w:tcPr>
          <w:p>
            <w:pPr>
              <w:keepNext w:val="0"/>
              <w:widowControl/>
              <w:spacing w:after="60" w:before="60" w:line="240" w:lineRule="auto"/>
            </w:pPr>
            <w:r>
              <w:rPr>
                <w:rFonts w:ascii="Times New Roman" w:hAnsi="Times New Roman" w:cs="Times New Roman"/>
                <w:b w:val="0"/>
                <w:sz w:val="20"/>
              </w:rPr>
              <w:t>Neither establishes a new comparative validation cohort</w:t>
            </w:r>
          </w:p>
        </w:tc>
      </w:tr>
      <w:tr>
        <w:trPr>
          <w:cantSplit/>
        </w:trPr>
        <w:tc>
          <w:tcPr>
            <w:tcW w:type="dxa" w:w="1944"/>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Cited January 2026 label</w:t>
            </w:r>
          </w:p>
        </w:tc>
        <w:tc>
          <w:tcPr>
            <w:tcW w:type="dxa" w:w="3960"/>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The cited kidney indication includes D+/R- recipients age 12 or older and weight at least 40 kg</w:t>
            </w:r>
          </w:p>
        </w:tc>
        <w:tc>
          <w:tcPr>
            <w:tcW w:type="dxa" w:w="3744"/>
            <w:vAlign w:val="center"/>
            <w:tcBorders>
              <w:top w:val="nil"/>
              <w:left w:val="nil"/>
              <w:bottom w:val="single" w:sz="10" w:color="000000"/>
              <w:right w:val="nil"/>
              <w:insideH w:val="nil"/>
              <w:insideV w:val="nil"/>
            </w:tcBorders>
          </w:tcPr>
          <w:p>
            <w:pPr>
              <w:keepNext w:val="0"/>
              <w:widowControl/>
              <w:spacing w:after="60" w:before="60" w:line="240" w:lineRule="auto"/>
            </w:pPr>
            <w:r>
              <w:rPr>
                <w:rFonts w:ascii="Times New Roman" w:hAnsi="Times New Roman" w:cs="Times New Roman"/>
                <w:b w:val="0"/>
                <w:sz w:val="20"/>
              </w:rPr>
              <w:t>The analyzed pivotal randomized population was adult; no new pediatric validation is claimed</w:t>
            </w:r>
          </w:p>
        </w:tc>
      </w:tr>
    </w:tbl>
    <w:p>
      <w:pPr>
        <w:pStyle w:val="Caption"/>
        <w:keepNext w:val="0"/>
        <w:spacing w:line="240" w:lineRule="auto" w:after="240"/>
      </w:pPr>
      <w:r>
        <w:rPr>
          <w:rFonts w:ascii="Times New Roman" w:hAnsi="Times New Roman" w:cs="Times New Roman"/>
          <w:b w:val="0"/>
          <w:i/>
          <w:sz w:val="20"/>
        </w:rPr>
        <w:t>Clinical context refers to the cited January 2026 prescribing information [37] and international CMV guidance [31]. This matrix summarizes endpoint and denominator interpretation; clinical efficacy evidence originates from the original randomized trial.</w:t>
      </w:r>
    </w:p>
    <w:p>
      <w:pPr>
        <w:pStyle w:val="Heading1"/>
      </w:pPr>
      <w:r>
        <w:rPr>
          <w:rFonts w:ascii="Times New Roman" w:hAnsi="Times New Roman" w:cs="Times New Roman"/>
        </w:rPr>
        <w:t>References</w:t>
      </w:r>
    </w:p>
    <w:p>
      <w:pPr>
        <w:keepLines/>
      </w:pPr>
      <w:r>
        <w:rPr>
          <w:rFonts w:ascii="Times New Roman" w:hAnsi="Times New Roman" w:cs="Times New Roman"/>
          <w:b w:val="0"/>
        </w:rPr>
        <w:t>31. Kotton CN, Kumar D, Manuel O, Chou S, Hayden RT, Danziger-Isakov L, et al. The Fourth International Consensus Guidelines on the Management of Cytomegalovirus in Solid Organ Transplantation. Transplantation. 2025;109(7):1066-1110. doi:10.1097/tp.0000000000005374. https://pubmed.ncbi.nlm.nih.gov/40200403/</w:t>
      </w:r>
    </w:p>
    <w:p>
      <w:pPr>
        <w:keepLines/>
      </w:pPr>
      <w:r>
        <w:rPr>
          <w:rFonts w:ascii="Times New Roman" w:hAnsi="Times New Roman" w:cs="Times New Roman"/>
          <w:b w:val="0"/>
        </w:rPr>
        <w:t>37. Merck Sharp &amp; Dohme LLC. PREVYMIS (letermovir) tablets, oral pellets, and injection: prescribing information. Revised January 2026. 2026. https://dailymed.nlm.nih.gov/dailymed/lookup.cfm?setid=1b49df80-be4f-47e0-a0b7-123f3e69395b&amp;version=28. Accessed 16 October 2026.</w:t>
      </w:r>
    </w:p>
    <w:sectPr w:rsidR="00FC693F" w:rsidRPr="0006063C" w:rsidSect="00034616">
      <w:pgSz w:w="11952" w:h="16848"/>
      <w:pgMar w:top="1008" w:right="1152" w:bottom="1008" w:left="1152"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ER" w:date="2026-10-17T16:21:21Z">
    <w:p>
      <w:pPr>
        <w:pStyle w:val="CommentText"/>
      </w:pPr>
      <w:r>
        <w:rPr>
          <w:rStyle w:val="CommentReference"/>
        </w:rPr>
        <w:annotationRef/>
      </w:r>
      <w:r>
        <w:t>This supplement contains original Table 7, now Supplementary Table S1. Reference identities and table data are retained. The source label and guidelines have not been independently verified online during this revision.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before="0"/>
    </w:pPr>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eastAsiaTheme="majorEastAsia"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eastAsiaTheme="majorEastAsia" w:ascii="Times New Roman" w:hAnsi="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ascii="Times New Roman" w:hAnsi="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ascii="Times New Roman" w:hAnsi="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ascii="Times New Roman" w:hAnsi="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ascii="Times New Roman" w:hAnsi="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ascii="Times New Roman" w:hAnsi="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ascii="Times New Roman" w:hAnsi="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color w:val="000000"/>
    </w:rPr>
  </w:style>
  <w:style w:type="table" w:default="1" w:styleId="TableNormal">
    <w:name w:val="Normal Table"/>
    <w:uiPriority w:val="99"/>
    <w:semiHidden/>
    <w:unhideWhenUsed/>
    <w:rPr>
      <w:rFonts w:ascii="Times New Roman" w:hAnsi="Times New Roman" w:cs="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color w:val="000000"/>
    </w:rPr>
  </w:style>
  <w:style w:type="character" w:customStyle="1" w:styleId="Heading1Char">
    <w:name w:val="Heading 1 Char"/>
    <w:basedOn w:val="DefaultParagraphFont"/>
    <w:link w:val="Heading1"/>
    <w:uiPriority w:val="9"/>
    <w:rsid w:val="00FC693F"/>
    <w:rPr>
      <w:rFonts w:eastAsiaTheme="majorEastAsia" w:ascii="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eastAsiaTheme="majorEastAsia" w:ascii="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eastAsiaTheme="majorEastAsia" w:ascii="Times New Roman" w:hAnsi="Times New Roman" w:cs="Times New Roman"/>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eastAsiaTheme="majorEastAsia" w:ascii="Times New Roman" w:hAnsi="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eastAsiaTheme="majorEastAsia" w:ascii="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ascii="Times New Roman" w:hAnsi="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eastAsiaTheme="majorEastAsia" w:ascii="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eastAsiaTheme="majorEastAsia" w:ascii="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eastAsiaTheme="majorEastAsia" w:ascii="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eastAsiaTheme="majorEastAsia" w:ascii="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eastAsiaTheme="majorEastAsia" w:ascii="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eastAsiaTheme="majorEastAsia" w:ascii="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eastAsiaTheme="majorEastAsia" w:ascii="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b/>
      <w:bCs/>
      <w:i w:val="0"/>
      <w:color w:val="000000"/>
      <w:sz w:val="20"/>
      <w:szCs w:val="18"/>
    </w:rPr>
  </w:style>
  <w:style w:type="character" w:styleId="Strong">
    <w:name w:val="Strong"/>
    <w:basedOn w:val="DefaultParagraphFont"/>
    <w:uiPriority w:val="22"/>
    <w:qFormat/>
    <w:rsid w:val="00FC693F"/>
    <w:rPr>
      <w:rFonts w:ascii="Times New Roman" w:hAnsi="Times New Roman" w:cs="Times New Roman"/>
      <w:b/>
      <w:bCs/>
      <w:color w:val="000000"/>
    </w:rPr>
  </w:style>
  <w:style w:type="character" w:styleId="Emphasis">
    <w:name w:val="Emphasis"/>
    <w:basedOn w:val="DefaultParagraphFont"/>
    <w:uiPriority w:val="20"/>
    <w:qFormat/>
    <w:rsid w:val="00FC693F"/>
    <w:rPr>
      <w:rFonts w:ascii="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color w:val="000000"/>
    </w:rPr>
  </w:style>
  <w:style w:type="table" w:styleId="TableGrid">
    <w:name w:val="Table Grid"/>
    <w:basedOn w:val="TableNormal"/>
    <w:uiPriority w:val="59"/>
    <w:rsid w:val="00FC693F"/>
    <w:pPr>
      <w:spacing w:after="0" w:line="240" w:lineRule="auto"/>
    </w:pPr>
    <w:rPr>
      <w:rFonts w:ascii="Times New Roman" w:hAnsi="Times New Roman" w:cs="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Theme="majorEastAsia" w:ascii="Times New Roman" w:hAnsi="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