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1. Data sources and publication conditions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016"/>
        <w:gridCol w:w="3528"/>
        <w:gridCol w:w="4176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Source</w:t>
            </w:r>
          </w:p>
        </w:tc>
        <w:tc>
          <w:tcPr>
            <w:tcW w:type="dxa" w:w="35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Role and access</w:t>
            </w:r>
          </w:p>
        </w:tc>
        <w:tc>
          <w:tcPr>
            <w:tcW w:type="dxa" w:w="41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Publication conditions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ClinicalTrials.gov API v2</w:t>
            </w:r>
          </w:p>
        </w:tc>
        <w:tc>
          <w:tcPr>
            <w:tcW w:type="dxa" w:w="35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Registration, aggregate results, locations and raw JSON; independently downloaded 13 October 2026.</w:t>
            </w:r>
          </w:p>
        </w:tc>
        <w:tc>
          <w:tcPr>
            <w:tcW w:type="dxa" w:w="41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Attribute ClinicalTrials.gov; disclose processing and download dates and transformations; refresh before submission. Terms permit publication/distribution subject to conditions and third-party rights.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FDA EXBLIFEP snapshot</w:t>
            </w:r>
          </w:p>
        </w:tc>
        <w:tc>
          <w:tcPr>
            <w:tcW w:type="dxa" w:w="35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Exact ALLIUM efficacy counts and reported stratified effects; independently downloaded 13 October 2026.</w:t>
            </w:r>
          </w:p>
        </w:tc>
        <w:tc>
          <w:tcPr>
            <w:tcW w:type="dxa" w:w="41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Government-generated website material is reusable unless otherwise noted. Record source and copy date. Third-party attachments are not granted a blanket reuse license.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Natural Earth 110m countries</w:t>
            </w:r>
          </w:p>
        </w:tc>
        <w:tc>
          <w:tcPr>
            <w:tcW w:type="dxa" w:w="35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Vector geographic background; downloaded from the official project repository.</w:t>
            </w:r>
          </w:p>
        </w:tc>
        <w:tc>
          <w:tcPr>
            <w:tcW w:type="dxa" w:w="41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Explicit public domain terms permit adaptation, dissemination and publication. No population or prevalence data are inferred.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Registry processing timestamp: 2026-10-13T09:00:06. The preserved snapshot is dated and must be refreshed before journal submission. No publication-repository patient dataset was used.</w:t>
      </w:r>
    </w:p>
    <w:p>
      <w:pPr>
        <w:spacing w:before="0" w:after="0" w:line="20" w:lineRule="exact"/>
        <w:sectPr>
          <w:footerReference w:type="default" r:id="rId9"/>
          <w:pgSz w:w="11906" w:h="16838"/>
          <w:pgMar w:top="864" w:right="864" w:bottom="864" w:left="864" w:header="360" w:footer="360" w:gutter="0"/>
          <w:cols w:space="720"/>
          <w:docGrid w:linePitch="360"/>
        </w:sectPr>
        <w:rPr>
          <w:sz w:val="2"/>
        </w:rPr>
      </w:pPr>
    </w:p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2. Exact primary efficacy cohorts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376"/>
        <w:gridCol w:w="1771"/>
        <w:gridCol w:w="1440"/>
        <w:gridCol w:w="1440"/>
        <w:gridCol w:w="2693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Program or contrast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Registry ID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Experimental n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Control n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Test of cure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ZEUS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NCT02753946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184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178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Day 19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CERTAIN-1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NCT03840148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143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Days 19–23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ADAPT-PO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NCT03788967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449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419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Day 19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PIVOT-PO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NCT06059846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446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483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Day 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INTEGRAL-1 FEP/NAC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NCT05887908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214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105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 ± 2 days after EOT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INTEGRAL-1 ATM/NAC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NCT05887908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112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105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 ± 2 days after EOT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Five independent programs and six contrasts represent 3,026 unique analysis participants. The INTEGRAL-1 control (n = 105) is shared. ZEUS is registered phase 2/3. These are microbiologically defined efficacy denominators, not total enrollment.</w:t>
      </w:r>
    </w:p>
    <w:p>
      <w:pPr>
        <w:spacing w:before="0" w:after="0" w:line="20" w:lineRule="exact"/>
        <w:sectPr>
          <w:pgSz w:w="11906" w:h="16838"/>
          <w:pgMar w:top="864" w:right="864" w:bottom="864" w:left="864" w:header="360" w:footer="360" w:gutter="0"/>
          <w:cols w:space="720"/>
          <w:docGrid w:linePitch="360"/>
        </w:sectPr>
        <w:rPr>
          <w:sz w:val="2"/>
        </w:rPr>
      </w:pPr>
    </w:p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3. Posted phase 3 composite response effects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232"/>
        <w:gridCol w:w="2232"/>
        <w:gridCol w:w="2232"/>
        <w:gridCol w:w="3024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Program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Experimental successes/n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Control successes/n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Crude RD in pp (95% CI)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ASPECT-cUTI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  <w:vertAlign w:val="superscript"/>
              </w:rPr>
              <w:t>†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306/398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275/402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8.48 (2.30 to 14.57)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RECAPTURE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280/393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269/417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6.74 (0.30 to 13.08)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IGNITE2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180/298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202/302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-6.48 (-14.07 to 1.21)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TANGO-I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143/192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128/182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4.15 (-4.88 to 13.14)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EPIC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  <w:vertAlign w:val="superscript"/>
              </w:rPr>
              <w:t>†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156/191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138/197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11.62 (3.10 to 19.92)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ZEUS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119/184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97/178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10.18 (0.08 to 20.01)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IGNITE3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293/428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302/403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-6.48 (-12.53 to -0.34)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SURE-2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301/444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325/440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-6.07 (-12.00 to -0.08)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ADAPT-PO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264/449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258/419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-2.78 (-9.24 to 3.73)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CERTAIN-1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207/293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83/143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12.61 (3.11 to 22.16)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Zidebactam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250/281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93/136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20.59 (12.23 to 29.40)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INTEGRAL-1 FEP/NAC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176/214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64/105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21.29 (10.83 to 31.87)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INTEGRAL-1 ATM/NAC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81/112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64/105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11.37 (-1.15 to 23.48)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PIVOT-PO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261/446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291/483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-1.73 (-8.02 to 4.57)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 xml:space="preserve">Thirteen programs; fourteen randomized contrasts. </w:t>
      </w:r>
      <w:r>
        <w:rPr>
          <w:rFonts w:ascii="Times New Roman" w:hAnsi="Times New Roman" w:cs="Times New Roman" w:eastAsia="宋体"/>
          <w:b w:val="0"/>
          <w:i/>
          <w:sz w:val="19"/>
          <w:vertAlign w:val="superscript"/>
        </w:rPr>
        <w:t>†</w:t>
      </w:r>
      <w:r>
        <w:rPr>
          <w:rFonts w:ascii="Times New Roman" w:hAnsi="Times New Roman" w:cs="Times New Roman" w:eastAsia="宋体"/>
          <w:b w:val="0"/>
          <w:i/>
          <w:sz w:val="19"/>
        </w:rPr>
        <w:t xml:space="preserve"> Uniquely inferred count from the registry denominator and rounded percentage. Every estimate retains its original population and visit. No universal composite meta-analysis or noninferiority reclassification is performed.</w:t>
      </w:r>
    </w:p>
    <w:p>
      <w:pPr>
        <w:spacing w:before="0" w:after="0" w:line="20" w:lineRule="exact"/>
        <w:sectPr>
          <w:pgSz w:w="11906" w:h="16838"/>
          <w:pgMar w:top="864" w:right="864" w:bottom="864" w:left="864" w:header="360" w:footer="360" w:gutter="0"/>
          <w:cols w:space="720"/>
          <w:docGrid w:linePitch="360"/>
        </w:sectPr>
        <w:rPr>
          <w:sz w:val="2"/>
        </w:rPr>
      </w:pPr>
    </w:p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4. Source compatibility and joint analysis exclusions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728"/>
        <w:gridCol w:w="4003"/>
        <w:gridCol w:w="3989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Program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Observed source issue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Disposition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ASPECT-cUTI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Historical companion ID resolves to the canonical record; pooled results; separate clinical/micro counts not posted.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Count pooled composite once; no joint reconstruction.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RECAPTURE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Two canonical records repeat pooled results; patient-reported composite differs from investigator clinical cure.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Deduplicate; separate marginals only.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TANGO-I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TOC composite exceeds posted microbial successes; mMITT title and ME wording conflict.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No feasible verified joint table; keep source outcomes separate.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Zidebactam pivotal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Clinical endpoint description includes the microbiological requirement despite different reported counts.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Retain reported marginals; exclude strict joint analysis pending clarification.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EPIC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results posted without the separate matched clinical and microbial marginals.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analysis only.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SURE-2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and microbial results posted; separate clinical result absent.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analysis retained, including unfavorable estimate.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IGNITE-2 and IGNITE-3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Different or unavailable component denominators and outcome populations.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analysis retained; no joint reconstruction.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ALLIUM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No numerical registry results at the snapshot date.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FDA exact-count extension only.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An endpoint compatibility exclusion is not a declaration of treatment inefficacy, misconduct or source error. Each source remains available for inspection in the raw data package.</w:t>
      </w:r>
    </w:p>
    <w:p>
      <w:pPr>
        <w:spacing w:before="0" w:after="0" w:line="20" w:lineRule="exact"/>
        <w:sectPr>
          <w:pgSz w:w="11906" w:h="16838"/>
          <w:pgMar w:top="864" w:right="864" w:bottom="864" w:left="864" w:header="360" w:footer="360" w:gutter="0"/>
          <w:cols w:space="720"/>
          <w:docGrid w:linePitch="360"/>
        </w:sectPr>
        <w:rPr>
          <w:sz w:val="2"/>
        </w:rPr>
      </w:pPr>
    </w:p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5. Covariance aware paired endpoint contrasts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952"/>
        <w:gridCol w:w="1224"/>
        <w:gridCol w:w="2592"/>
        <w:gridCol w:w="1584"/>
        <w:gridCol w:w="1368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Contrast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D in pp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95% CI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Exploratory P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BH adjusted 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ZEUS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10.39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0.38 to 20.41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0.0420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0.1259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CERTAIN-1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7.18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-3.19 to 17.55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0.1750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0.3499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ADAPT-PO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-3.56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-10.12 to 3.00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0.2876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0.4087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PIVOT-PO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0.77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-5.68 to 7.23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0.8150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0.8150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INTEGRAL-1 FEP/NAC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18.67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8.21 to 29.13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0.0005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0.0028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INTEGRAL-1 ATM/NAC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5.95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-6.29 to 18.19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0.3405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0.4087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D = microbiological treatment benefit minus clinical treatment benefit. Intervals use matched joint classifications. P values are exploratory and were not used for inclusion. BH adjustment covers six primary contrasts; shared-control dependence remains explicit.</w:t>
      </w:r>
    </w:p>
    <w:p>
      <w:pPr>
        <w:spacing w:before="0" w:after="0" w:line="20" w:lineRule="exact"/>
        <w:sectPr>
          <w:pgSz w:w="11906" w:h="16838"/>
          <w:pgMar w:top="864" w:right="864" w:bottom="864" w:left="864" w:header="360" w:footer="360" w:gutter="0"/>
          <w:cols w:space="720"/>
          <w:docGrid w:linePitch="360"/>
        </w:sectPr>
        <w:rPr>
          <w:sz w:val="2"/>
        </w:rPr>
      </w:pPr>
    </w:p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6. Exploratory program level synthesis and sensitivity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664"/>
        <w:gridCol w:w="1656"/>
        <w:gridCol w:w="3600"/>
        <w:gridCol w:w="180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Analysis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Programs k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Mean D in pp (95% CI)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I²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Registry exact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5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4.95 (-4.27 to 14.18)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65.8%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Add derived phase 2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6.45 (-1.73 to 14.63)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68.5%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Add FDA ALLIUM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6.76 (-1.49 to 15.01)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73.8%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Both extensions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</w:t>
            </w:r>
          </w:p>
        </w:tc>
        <w:tc>
          <w:tcPr>
            <w:tcW w:type="dxa" w:w="36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7.73 (0.48 to 14.99)</w:t>
            </w:r>
          </w:p>
        </w:tc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72.5%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REML with modified Hartung–Knapp intervals. Active nacubactam arms are combined before synthesis. The strict registry result is the primary evidence tier; extensions retain their designated sensitivity status.</w:t>
      </w:r>
    </w:p>
    <w:p>
      <w:pPr>
        <w:spacing w:before="0" w:after="0" w:line="20" w:lineRule="exact"/>
        <w:sectPr>
          <w:pgSz w:w="11906" w:h="16838"/>
          <w:pgMar w:top="864" w:right="864" w:bottom="864" w:left="864" w:header="360" w:footer="360" w:gutter="0"/>
          <w:cols w:space="720"/>
          <w:docGrid w:linePitch="360"/>
        </w:sectPr>
        <w:rPr>
          <w:sz w:val="2"/>
        </w:rPr>
      </w:pPr>
    </w:p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7. Posted safety population 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00"/>
        <w:gridCol w:w="3096"/>
        <w:gridCol w:w="2520"/>
        <w:gridCol w:w="230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Program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Assigned group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Serious AE affected/at risk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Deaths affected/at risk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ZEUS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ZTI-01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5/233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0/233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Piperacillin Tazobactam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6/231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0/231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CERTAIN-1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Cefepime/taniborbactam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9/440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1/440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Meropenem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4/217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0/217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ADAPT-PO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TBPM-PI-HBr 600 mg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14/685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0/685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Ertapenem 1 g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12/687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0/687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PIVOT-PO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TBP-PI-HBr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29/843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2/843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Imipenem-cilastatin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22/844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2/844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INTEGRAL-1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Cefepime/Nacubactam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6/306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1/306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Aztreonam/Nacubactam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4/152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0/152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Imipenem/Cilastatin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5/150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0/150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APEKS-cUTI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S-649266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14/300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1/300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Imipenem/Cilastatin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12/148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0/148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TANGO-I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Meropenem-Vaborbactam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11/272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2/272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Piperacillin-Tazobactam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12/273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2/273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RECAPTURE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CAZ-AVI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21/511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Not posted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Doripenem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12/509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Not posted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Zidebactam</w:t>
            </w:r>
          </w:p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Cefepime/zidebactam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8/352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0/352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309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Meropenem</w:t>
            </w:r>
          </w:p>
        </w:tc>
        <w:tc>
          <w:tcPr>
            <w:tcW w:type="dxa" w:w="25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1/177</w:t>
            </w:r>
          </w:p>
        </w:tc>
        <w:tc>
          <w:tcPr>
            <w:tcW w:type="dxa" w:w="230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0/177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Safety denominators differ from efficacy denominators. Surveillance windows are preserved in safety_summary.csv. AE counts are descriptive, not adjudicated drug-attributable harm or a cross-drug ranking.</w:t>
      </w:r>
    </w:p>
    <w:sectPr w:rsidR="00FC693F" w:rsidRPr="0006063C" w:rsidSect="00034616"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