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40"/>
      </w:pPr>
      <w:r>
        <w:rPr>
          <w:rFonts w:ascii="Times New Roman" w:hAnsi="Times New Roman" w:cs="Times New Roman" w:eastAsia="宋体"/>
          <w:b/>
          <w:i w:val="0"/>
          <w:sz w:val="22"/>
        </w:rPr>
        <w:t>Supplementary Table S1. Aggregate joint endpoint classifications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1757"/>
        <w:gridCol w:w="3787"/>
        <w:gridCol w:w="1584"/>
        <w:gridCol w:w="835"/>
        <w:gridCol w:w="691"/>
        <w:gridCol w:w="1440"/>
        <w:gridCol w:w="1440"/>
        <w:gridCol w:w="1656"/>
        <w:gridCol w:w="1872"/>
      </w:tblGrid>
      <w:tr>
        <w:trPr>
          <w:cantSplit/>
          <w:tblHeader/>
        </w:trPr>
        <w:tc>
          <w:tcPr>
            <w:tcW w:type="dxa" w:w="1757"/>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0"/>
              </w:rPr>
              <w:t>Registry ID</w:t>
            </w:r>
          </w:p>
        </w:tc>
        <w:tc>
          <w:tcPr>
            <w:tcW w:type="dxa" w:w="3787"/>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Program</w:t>
            </w:r>
          </w:p>
        </w:tc>
        <w:tc>
          <w:tcPr>
            <w:tcW w:type="dxa" w:w="158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Evidence tier</w:t>
            </w:r>
          </w:p>
        </w:tc>
        <w:tc>
          <w:tcPr>
            <w:tcW w:type="dxa" w:w="835"/>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Arm</w:t>
            </w:r>
          </w:p>
        </w:tc>
        <w:tc>
          <w:tcPr>
            <w:tcW w:type="dxa" w:w="691"/>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n</w:t>
            </w:r>
          </w:p>
        </w:tc>
        <w:tc>
          <w:tcPr>
            <w:tcW w:type="dxa" w:w="14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Both</w:t>
              <w:br/>
              <w:t>responses</w:t>
            </w:r>
          </w:p>
        </w:tc>
        <w:tc>
          <w:tcPr>
            <w:tcW w:type="dxa" w:w="14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Clinical</w:t>
              <w:br/>
              <w:t>only</w:t>
            </w:r>
          </w:p>
        </w:tc>
        <w:tc>
          <w:tcPr>
            <w:tcW w:type="dxa" w:w="1656"/>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Microbiological</w:t>
              <w:br/>
              <w:t>only</w:t>
            </w:r>
          </w:p>
        </w:tc>
        <w:tc>
          <w:tcPr>
            <w:tcW w:type="dxa" w:w="1872"/>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Neither documented</w:t>
              <w:br/>
              <w:t>response</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NCT02753946</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ZEUS</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184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119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48</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15</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178</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97</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66</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NCT03840148</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CERTAIN-1</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293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207</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44</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20</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143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NCT03788967</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ADAPT-PO</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449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264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154</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28</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419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258</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134</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19</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NCT06059846</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PIVOT-PO</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446</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261</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156</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8</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21</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483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291</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169</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18</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NCT05887908</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INTEGRAL-1 cefepime/nacubactam</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214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176</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19</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8</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105</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28</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1757"/>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NCT05887908</w:t>
            </w:r>
          </w:p>
        </w:tc>
        <w:tc>
          <w:tcPr>
            <w:tcW w:type="dxa" w:w="3787"/>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INTEGRAL-1 aztreonam/nacubactam</w:t>
            </w:r>
          </w:p>
        </w:tc>
        <w:tc>
          <w:tcPr>
            <w:tcW w:type="dxa" w:w="158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112</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81</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22</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NCT02321800</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APEKS-cUTI</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Phase 2 sensitivity</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252</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183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43</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25</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65</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39</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13</w:t>
            </w:r>
          </w:p>
        </w:tc>
      </w:tr>
      <w:tr>
        <w:trPr>
          <w:cantSplit/>
        </w:trPr>
        <w:tc>
          <w:tcPr>
            <w:tcW w:type="dxa" w:w="1757"/>
            <w:vAlign w:val="center"/>
            <w:vMerge w:val="restart"/>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NCT03687255</w:t>
            </w:r>
          </w:p>
        </w:tc>
        <w:tc>
          <w:tcPr>
            <w:tcW w:type="dxa" w:w="3787"/>
            <w:vAlign w:val="center"/>
            <w:vMerge w:val="restart"/>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ALLIUM FDA extension</w:t>
            </w:r>
          </w:p>
        </w:tc>
        <w:tc>
          <w:tcPr>
            <w:tcW w:type="dxa" w:w="1584"/>
            <w:vAlign w:val="center"/>
            <w:vMerge w:val="restart"/>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FDA extension</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345</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273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46</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13</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333</w:t>
            </w:r>
          </w:p>
        </w:tc>
        <w:tc>
          <w:tcPr>
            <w:tcW w:type="dxa" w:w="14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196</w:t>
            </w:r>
          </w:p>
        </w:tc>
        <w:tc>
          <w:tcPr>
            <w:tcW w:type="dxa" w:w="14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100</w:t>
            </w:r>
          </w:p>
        </w:tc>
        <w:tc>
          <w:tcPr>
            <w:tcW w:type="dxa" w:w="1656"/>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20</w:t>
            </w:r>
          </w:p>
        </w:tc>
        <w:tc>
          <w:tcPr>
            <w:tcW w:type="dxa" w:w="1872"/>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17</w:t>
            </w:r>
          </w:p>
        </w:tc>
      </w:tr>
    </w:tbl>
    <w:p>
      <w:pPr>
        <w:widowControl/>
        <w:spacing w:before="100" w:after="0" w:line="240" w:lineRule="auto"/>
      </w:pPr>
      <w:r>
        <w:rPr>
          <w:rFonts w:ascii="Times New Roman" w:hAnsi="Times New Roman" w:cs="Times New Roman" w:eastAsia="宋体"/>
          <w:b w:val="0"/>
          <w:i/>
          <w:sz w:val="19"/>
        </w:rPr>
        <w:t>Values are counts reproduced from the supplied CSV. Both, clinical and microbiological responses; exp, experimental arm; ctrl, control arm. The four classifications are both responses, clinical response only, microbiological response only, and neither documented response. Non-success may include failure or an indeterminate assessment and is not equivalent to biological persistence. The INTEGRAL-1 control (n = 105) is shown once and is shared by the cefepime/nacubactam and aztreonam/nacubactam contrasts.</w:t>
      </w:r>
    </w:p>
    <w:p>
      <w:pPr>
        <w:spacing w:before="0" w:after="0" w:line="20" w:lineRule="exact"/>
        <w:sectPr>
          <w:footerReference w:type="default" r:id="rId9"/>
          <w:pgSz w:w="16838" w:h="11906" w:orient="landscape"/>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Supplementary Table S2. Endpoint-specific response rates and treatment effects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2736"/>
        <w:gridCol w:w="1800"/>
        <w:gridCol w:w="1656"/>
        <w:gridCol w:w="2376"/>
        <w:gridCol w:w="2376"/>
        <w:gridCol w:w="3960"/>
      </w:tblGrid>
      <w:tr>
        <w:trPr>
          <w:cantSplit/>
          <w:tblHeader/>
        </w:trPr>
        <w:tc>
          <w:tcPr>
            <w:tcW w:type="dxa" w:w="273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19"/>
              </w:rPr>
              <w:t>Program / registry ID</w:t>
            </w:r>
          </w:p>
        </w:tc>
        <w:tc>
          <w:tcPr>
            <w:tcW w:type="dxa" w:w="1800"/>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19"/>
              </w:rPr>
              <w:t>Evidence tier</w:t>
            </w:r>
          </w:p>
        </w:tc>
        <w:tc>
          <w:tcPr>
            <w:tcW w:type="dxa" w:w="165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19"/>
              </w:rPr>
              <w:t>Endpoint</w:t>
            </w:r>
          </w:p>
        </w:tc>
        <w:tc>
          <w:tcPr>
            <w:tcW w:type="dxa" w:w="237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19"/>
              </w:rPr>
              <w:t>Experimental</w:t>
              <w:br/>
              <w:t>successes/n (%)</w:t>
            </w:r>
          </w:p>
        </w:tc>
        <w:tc>
          <w:tcPr>
            <w:tcW w:type="dxa" w:w="237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19"/>
              </w:rPr>
              <w:t>Control</w:t>
              <w:br/>
              <w:t>successes/n (%)</w:t>
            </w:r>
          </w:p>
        </w:tc>
        <w:tc>
          <w:tcPr>
            <w:tcW w:type="dxa" w:w="3960"/>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19"/>
              </w:rPr>
              <w:t>RD, pp</w:t>
              <w:br/>
              <w:t>(95% CI)</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ZEUS</w:t>
              <w:br/>
              <w:t>NCT02753946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119/184 (64.67)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97/178 (54.49)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10.18 (0.08 to 20.01)</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167/184 (90.76)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163/178 (91.57)</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-0.81 (-6.83 to 5.24)</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121/184 (65.76)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100/178 (56.18)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9.58 (-0.46 to 19.37)</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CERTAIN-1</w:t>
              <w:br/>
              <w:t>NCT03840148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207/293 (70.65)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83/143 (58.04)</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12.61 (3.11 to 22.16)</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251/293 (85.67)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116/143 (81.12)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4.55 (-2.60 to 12.57)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229/293 (78.16)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95/143 (66.43)</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11.72 (2.90 to 20.90)</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ADAPT-PO</w:t>
              <w:br/>
              <w:t>NCT03788967</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264/449 (58.80)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258/419 (61.58)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-2.78 (-9.24 to 3.73)</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418/449 (93.10)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392/419 (93.56)</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-0.46 (-3.83 to 2.95)</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267/449 (59.47)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266/419 (63.48)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-4.02 (-10.43 to 2.46)</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PIVOT-PO</w:t>
              <w:br/>
              <w:t>NCT06059846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261/446 (58.52)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291/483 (60.25)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-1.73 (-8.02 to 4.57)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417/446 (93.50)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460/483 (95.24)</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-1.74 (-4.85 to 1.25)</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269/446 (60.31)</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296/483 (61.28)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-0.97 (-7.23 to 5.29)</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INTEGRAL-1 cefepime/nacubactam</w:t>
              <w:br/>
              <w:t>NCT05887908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176/214 (82.24)</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64/105 (60.95)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21.29 (10.83 to 31.87)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195/214 (91.12)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92/105 (87.62)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3.50 (-3.27 to 11.77)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184/214 (85.98)</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67/105 (63.81)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22.17 (12.12 to 32.51)</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INTEGRAL-1 aztreonam/nacubactam</w:t>
              <w:br/>
              <w:t>NCT05887908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81/112 (72.32)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64/105 (60.95)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11.37 (-1.15 to 23.48)</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103/112 (91.96)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92/105 (87.62)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4.35 (-3.88 to 12.87)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83/112 (74.11)</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67/105 (63.81)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10.30 (-1.99 to 22.25)</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APEKS-cUTI</w:t>
              <w:br/>
              <w:t>NCT02321800</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Phase 2 sensitivity</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183/252 (72.62)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65/119 (54.62)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18.00 (7.57 to 28.32)</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226/252 (89.68)</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104/119 (87.39)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2.29 (-4.22 to 10.12)</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184/252 (73.02)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67/119 (56.30)</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16.71 (6.36 to 27.03)</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TANGO-I</w:t>
              <w:br/>
              <w:t>NCT02166476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Source audit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143/192 (74.48)</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128/182 (70.33)</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4.15 (-4.88 to 13.14)</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174/192 (90.63)</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157/182 (86.26)</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4.36 (-2.17 to 11.03)</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132/192 (68.75)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113/182 (62.09)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6.66 (-2.95 to 16.14)</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RECAPTURE pooled 1+2</w:t>
              <w:br/>
              <w:t>NCT01595438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Source audit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280/393 (71.25)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269/417 (64.51)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6.74 (0.30 to 13.08)</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355/393 (90.33)</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377/417 (90.41)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-0.08 (-4.22 to 4.02)</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304/393 (77.35)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296/417 (70.98)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6.37 (0.33 to 12.32)</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Zidebactam pivotal</w:t>
              <w:br/>
              <w:t>NCT04979806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Source audit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250/281 (88.97)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93/136 (68.38)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20.59 (12.23 to 29.40)</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272/281 (96.80)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129/136 (94.85)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1.94 (-1.88 to 7.26)</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256/281 (91.10)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96/136 (70.59)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20.51 (12.49 to 29.12)</w:t>
            </w:r>
          </w:p>
        </w:tc>
      </w:tr>
      <w:tr>
        <w:trPr>
          <w:cantSplit/>
        </w:trPr>
        <w:tc>
          <w:tcPr>
            <w:tcW w:type="dxa" w:w="2736"/>
            <w:vAlign w:val="center"/>
            <w:vMerge w:val="restart"/>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ALLIUM FDA extension</w:t>
              <w:br/>
              <w:t>NCT03687255</w:t>
            </w:r>
          </w:p>
        </w:tc>
        <w:tc>
          <w:tcPr>
            <w:tcW w:type="dxa" w:w="1800"/>
            <w:vAlign w:val="center"/>
            <w:vMerge w:val="restart"/>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FDA extension</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273/345 (79.13)</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196/333 (58.86)</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20.27 (13.36 to 26.93)</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319/345 (92.46)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296/333 (88.89)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3.57 (-0.83 to 8.06)</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286/345 (82.90)</w:t>
            </w:r>
          </w:p>
        </w:tc>
        <w:tc>
          <w:tcPr>
            <w:tcW w:type="dxa" w:w="2376"/>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216/333 (64.86)</w:t>
            </w:r>
          </w:p>
        </w:tc>
        <w:tc>
          <w:tcPr>
            <w:tcW w:type="dxa" w:w="3960"/>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18.03 (11.47 to 24.42)</w:t>
            </w:r>
          </w:p>
        </w:tc>
      </w:tr>
    </w:tbl>
    <w:p>
      <w:pPr>
        <w:widowControl/>
        <w:spacing w:before="100" w:after="0" w:line="240" w:lineRule="auto"/>
      </w:pPr>
      <w:r>
        <w:rPr>
          <w:rFonts w:ascii="Times New Roman" w:hAnsi="Times New Roman" w:cs="Times New Roman" w:eastAsia="宋体"/>
          <w:b w:val="0"/>
          <w:i/>
          <w:sz w:val="19"/>
        </w:rPr>
        <w:t>Values are experimental and control successes/analysis population (percentage). RD, risk difference in percentage points, defined as experimental minus control; CI, confidence interval. Source-supplied rates are displayed as percentages to two decimal places; RD and CI limits are displayed to two decimal places. This is display rounding only. All original fields and decimal precision are preserved in Table_S2_Full_Precision.docx and Table_S2_endpoint_effects.csv. Primary exact, phase 2 sensitivity, FDA extension, and source-audit evidence tiers retain their source classifications. The two INTEGRAL-1 contrasts share the same control population.</w:t>
      </w:r>
    </w:p>
    <w:p>
      <w:pPr>
        <w:spacing w:before="0" w:after="0" w:line="20" w:lineRule="exact"/>
        <w:sectPr>
          <w:pgSz w:w="16838" w:h="11906" w:orient="landscape"/>
          <w:pgMar w:top="648" w:right="864" w:bottom="648"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Supplementary Table S3. Registered site listings and program counts by country or territory</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5040"/>
        <w:gridCol w:w="2304"/>
        <w:gridCol w:w="2304"/>
      </w:tblGrid>
      <w:tr>
        <w:trPr>
          <w:cantSplit/>
          <w:tblHeader/>
        </w:trPr>
        <w:tc>
          <w:tcPr>
            <w:tcW w:type="dxa" w:w="50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0"/>
              </w:rPr>
              <w:t>Country or territory</w:t>
            </w:r>
          </w:p>
        </w:tc>
        <w:tc>
          <w:tcPr>
            <w:tcW w:type="dxa" w:w="230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Site listings, n</w:t>
            </w:r>
          </w:p>
        </w:tc>
        <w:tc>
          <w:tcPr>
            <w:tcW w:type="dxa" w:w="230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Programs, n</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Argentina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Austria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Belarus</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Bosnia and Herzegovina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Brazil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Bulgaria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China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Colombia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Croatia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Czechia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Estonia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Georgia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Germany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Greece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Hungary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India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28</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Israel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Italy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Japan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Latvia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Lithuania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Mexico</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19</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Moldova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Peru</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Poland</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Portugal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Romania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48</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Russia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Serbia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Slovakia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Slovenia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South Africa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South Korea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Spain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Taiwan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Thailand</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Turkey (Türkiye)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Ukraine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United States</w:t>
            </w:r>
          </w:p>
        </w:tc>
        <w:tc>
          <w:tcPr>
            <w:tcW w:type="dxa" w:w="230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72</w:t>
            </w:r>
          </w:p>
        </w:tc>
        <w:tc>
          <w:tcPr>
            <w:tcW w:type="dxa" w:w="230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12</w:t>
            </w:r>
          </w:p>
        </w:tc>
      </w:tr>
    </w:tbl>
    <w:p>
      <w:pPr>
        <w:widowControl/>
        <w:spacing w:before="100" w:after="0" w:line="240" w:lineRule="auto"/>
      </w:pPr>
      <w:r>
        <w:rPr>
          <w:rFonts w:ascii="Times New Roman" w:hAnsi="Times New Roman" w:cs="Times New Roman" w:eastAsia="宋体"/>
          <w:b w:val="0"/>
          <w:i/>
          <w:sz w:val="19"/>
        </w:rPr>
        <w:t>Counts are reproduced from the supplied country-location CSV. Site listings were deduplicated within pooled programs, not across programs. Program memberships are not additive counts of independent programs. These values describe registered research locations rather than enrolled participants, population size, disease prevalence, or treatment uptake.</w:t>
      </w:r>
    </w:p>
    <w:sectPr w:rsidR="00FC693F" w:rsidRPr="0006063C" w:rsidSect="00034616">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three-line tables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