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Supplementary Table S2. Endpoint effects with all source fields at full precision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656"/>
        <w:gridCol w:w="2520"/>
        <w:gridCol w:w="1440"/>
        <w:gridCol w:w="1224"/>
        <w:gridCol w:w="720"/>
        <w:gridCol w:w="936"/>
        <w:gridCol w:w="2016"/>
        <w:gridCol w:w="720"/>
        <w:gridCol w:w="936"/>
        <w:gridCol w:w="2016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Registry ID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Program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Evidence tier</w:t>
            </w:r>
          </w:p>
        </w:tc>
        <w:tc>
          <w:tcPr>
            <w:tcW w:type="dxa" w:w="1224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Endpoint</w:t>
            </w:r>
          </w:p>
        </w:tc>
        <w:tc>
          <w:tcPr>
            <w:tcW w:type="dxa" w:w="3672"/>
            <w:vAlign w:val="center"/>
            <w:gridSpan w:val="3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Experimental arm</w:t>
            </w:r>
          </w:p>
        </w:tc>
        <w:tc>
          <w:tcPr>
            <w:tcW w:type="dxa" w:w="3672"/>
            <w:vAlign w:val="center"/>
            <w:gridSpan w:val="3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Control arm</w:t>
            </w:r>
          </w:p>
        </w:tc>
        <w:tc>
          <w:tcPr>
            <w:tcW w:type="dxa" w:w="6480"/>
            <w:vAlign w:val="center"/>
            <w:gridSpan w:val="3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Treatment effect (pp)</w:t>
            </w:r>
          </w:p>
        </w:tc>
      </w:tr>
      <w:tr>
        <w:trPr>
          <w:cantSplit/>
          <w:tblHeader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keepNext/>
              <w:widowControl/>
              <w:spacing w:before="0" w:after="0" w:line="240" w:lineRule="auto"/>
              <w:jc w:val="left"/>
            </w:pPr>
          </w:p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keepNext/>
              <w:widowControl/>
              <w:spacing w:before="0" w:after="0" w:line="240" w:lineRule="auto"/>
              <w:jc w:val="left"/>
            </w:pPr>
          </w:p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keepNext/>
              <w:widowControl/>
              <w:spacing w:before="0" w:after="0" w:line="240" w:lineRule="auto"/>
              <w:jc w:val="left"/>
            </w:pPr>
          </w:p>
        </w:tc>
        <w:tc>
          <w:tcPr>
            <w:tcW w:type="dxa" w:w="1224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keepNext/>
              <w:widowControl/>
              <w:spacing w:before="0" w:after="0" w:line="240" w:lineRule="auto"/>
              <w:jc w:val="center"/>
            </w:pP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n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Successes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Response</w:t>
              <w:br/>
              <w:t>proportion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n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Successes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Response</w:t>
              <w:br/>
              <w:t>proportion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RD, pp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Lower</w:t>
              <w:br/>
              <w:t>95% CI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Upper</w:t>
              <w:br/>
              <w:t>95% CI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NCT02753946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ZEUS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119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0.6467391304347826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178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0.5449438202247191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10.17953102100635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0.0780719964450421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20.00682308293677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167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0.907608695652174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178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163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0.9157303370786516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-0.8121641426477755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-6.8261330337753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5.2375144611858815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0.657608695652174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178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0.5617977528089888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9.581094284318514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-0.4583654146191204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19.36877496997521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NCT03840148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CERTAIN-1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0.7064846416382252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143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83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0.5804195804195804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12.60650612186448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3.109735168330367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22.164937246344014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0.856655290102389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143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0.8111888111888111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4.546647891357791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-2.5964679519593634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12.571451974982212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229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0.7815699658703071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143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95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0.6643356643356644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11.723430153464276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2.8960492694436666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20.89983592946737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NCT03788967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ADAPT-PO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449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0.5879732739420935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258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0.6157517899761337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-2.777851603404013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-9.241640540375904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3.731973035716407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449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418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0.930957683741648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392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0.935560859188544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-0.4603175446896035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-3.830722628644888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2.9543888155108395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449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0.5946547884187082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0.6348448687350835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-4.019008031637528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-10.434002986786336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2.4578080989705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NCT06059846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PIVOT-PO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446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0.5852017937219731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483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0.6024844720496895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-1.728267832771635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-8.021900342982526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4.571809436929495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446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0.9349775784753364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483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460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0.9523809523809524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-1.740337390561597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-4.84543184227085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1.2530123286655748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446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269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0.6031390134529148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483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0.6128364389233955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-0.9697425470480692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-7.232300837111633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5.288676165572157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NCT05887908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INTEGRAL-1 cefepime/nacubactam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214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176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0.822429906542056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0.6095238095238096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21.290609701824646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10.830468065996056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31.872899587671945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214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195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0.911214953271028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92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0.8761904761904762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3.5024477080551897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-3.2727965739821605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11.770357565133988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214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0.8598130841121495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0.638095238095238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22.171784601691147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12.115314456729504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32.51333183118805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NCT05887908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INTEGRAL-1 aztreonam/nacubactam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81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0.7232142857142857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0.6095238095238096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11.369047619047612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-1.1527852768493192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23.483408807355964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0.9196428571428572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92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0.8761904761904762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4.345238095238091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-3.882699694871809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12.870819989131643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83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0.7410714285714286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0.638095238095238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10.297619047619056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-1.9862689967670737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22.25105624272456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NCT02321800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APEKS-cUTI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Phase 2 sensitivity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0.7261904761904762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65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0.5462184873949579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17.997198879551824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7.565877497156929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28.3154282395362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226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0.8968253968253969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0.8739495798319328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2.287581699346408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-4.215405823941722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10.116164524714472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0.7301587301587301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119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0.5630252100840336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16.713352007469652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6.36223220405005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27.034624310174248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NCT02166476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TANGO-I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Source audit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192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143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0.7447916666666666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128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0.7032967032967034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4.149496336996328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-4.8828069516161685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13.142873243639622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192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174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0.90625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157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0.8626373626373627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4.361263736263732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-2.171508313855824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11.026682841838374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192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132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0.6875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182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0.6208791208791209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6.662087912087911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-2.9549910582097327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16.14358807392305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NCT01595438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RECAPTURE pooled 1+2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Source audit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393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280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0.712468193384224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417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269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0.645083932853717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6.738426053050695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0.2986192515593178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13.080853376783852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393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355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0.9033078880407124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417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377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0.9040767386091128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-0.0768850568400258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-4.217570969286417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4.015829228147847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393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304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0.7735368956743003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417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0.709832134292566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6.370476138173431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0.3293981665315783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12.324414821505538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NCT04979806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Zidebactam pivotal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Source audit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281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250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0.8896797153024911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136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0.6838235294117647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20.58561858907264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12.233627375643753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29.39629921533652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281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272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0.9679715302491104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136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129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0.9485294117647058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1.944211848440447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-1.877429967951981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7.258862701373864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281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0.9110320284697508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136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0.7058823529411765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20.51496755285743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12.492049327924452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29.121132034378405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NCT03687255</w:t>
            </w:r>
          </w:p>
        </w:tc>
        <w:tc>
          <w:tcPr>
            <w:tcW w:type="dxa" w:w="252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ALLIUM FDA extension</w:t>
            </w:r>
          </w:p>
        </w:tc>
        <w:tc>
          <w:tcPr>
            <w:tcW w:type="dxa" w:w="1440"/>
            <w:vAlign w:val="center"/>
            <w:vMerge w:val="restart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FDA extension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345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273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0.7913043478260869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333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196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0.5885885885885885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20.27157592374984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13.36438903630329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26.93085101328694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345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319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0.9246376811594202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333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0.8888888888888888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3.5748792270531404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-0.8287933070669384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8.062999781502272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252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440"/>
            <w:vAlign w:val="center"/>
            <w:vMerge/>
            <w:tcMar>
              <w:top w:w="35" w:type="dxa"/>
              <w:bottom w:w="35" w:type="dxa"/>
              <w:left w:w="70" w:type="dxa"/>
              <w:right w:w="70" w:type="dxa"/>
            </w:tcMar>
          </w:tcPr>
          <w:p/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345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286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0.8289855072463768</w:t>
            </w:r>
          </w:p>
        </w:tc>
        <w:tc>
          <w:tcPr>
            <w:tcW w:type="dxa" w:w="72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333</w:t>
            </w:r>
          </w:p>
        </w:tc>
        <w:tc>
          <w:tcPr>
            <w:tcW w:type="dxa" w:w="93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216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0.6486486486486487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18.03368585977281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11.471071231872637</w:t>
            </w:r>
          </w:p>
        </w:tc>
        <w:tc>
          <w:tcPr>
            <w:tcW w:type="dxa" w:w="2160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24.41938281342638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All data fields and numerical strings are reproduced from Table_S2_endpoint_effects.csv without rounding. Column order is arranged by experimental arm, control arm, and treatment effect. Response proportions are on a 0–1 scale. RD and its 95% confidence limits are in percentage points, defined as experimental minus control. This wide archival layout uses A3 landscape paper. The standard A4 manuscript layout is provided separately as Table_S2.docx.</w:t>
      </w:r>
    </w:p>
    <w:sectPr w:rsidR="00FC693F" w:rsidRPr="0006063C" w:rsidSect="00034616">
      <w:footerReference w:type="default" r:id="rId9"/>
      <w:pgSz w:w="23811" w:h="16838" w:orient="landscape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