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40"/>
      </w:pPr>
      <w:r>
        <w:rPr>
          <w:rFonts w:ascii="Times New Roman" w:hAnsi="Times New Roman" w:cs="Times New Roman" w:eastAsia="宋体"/>
          <w:b/>
          <w:i w:val="0"/>
          <w:sz w:val="22"/>
        </w:rPr>
        <w:t>Table 2. Exact primary efficacy cohorts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left w:val="nil"/>
          <w:bottom w:val="single" w:sz="10" w:color="000000"/>
          <w:right w:val="nil"/>
          <w:insideH w:val="nil"/>
          <w:insideV w:val="nil"/>
        </w:tblBorders>
      </w:tblPr>
      <w:tblGrid>
        <w:gridCol w:w="2376"/>
        <w:gridCol w:w="1771"/>
        <w:gridCol w:w="1440"/>
        <w:gridCol w:w="1440"/>
        <w:gridCol w:w="2693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Program or contrast</w:t>
            </w:r>
          </w:p>
        </w:tc>
        <w:tc>
          <w:tcPr>
            <w:tcW w:type="dxa" w:w="1771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Registry ID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Experimental n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Control n</w:t>
            </w:r>
          </w:p>
        </w:tc>
        <w:tc>
          <w:tcPr>
            <w:tcW w:type="dxa" w:w="2693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Test of cure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ZEUS</w:t>
            </w:r>
          </w:p>
        </w:tc>
        <w:tc>
          <w:tcPr>
            <w:tcW w:type="dxa" w:w="1771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NCT02753946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184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178</w:t>
            </w:r>
          </w:p>
        </w:tc>
        <w:tc>
          <w:tcPr>
            <w:tcW w:type="dxa" w:w="2693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Day 19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CERTAIN-1</w:t>
            </w:r>
          </w:p>
        </w:tc>
        <w:tc>
          <w:tcPr>
            <w:tcW w:type="dxa" w:w="1771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NCT03840148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293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143</w:t>
            </w:r>
          </w:p>
        </w:tc>
        <w:tc>
          <w:tcPr>
            <w:tcW w:type="dxa" w:w="2693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Days 19–23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ADAPT-PO</w:t>
            </w:r>
          </w:p>
        </w:tc>
        <w:tc>
          <w:tcPr>
            <w:tcW w:type="dxa" w:w="1771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NCT03788967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449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419</w:t>
            </w:r>
          </w:p>
        </w:tc>
        <w:tc>
          <w:tcPr>
            <w:tcW w:type="dxa" w:w="2693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Day 19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PIVOT-PO</w:t>
            </w:r>
          </w:p>
        </w:tc>
        <w:tc>
          <w:tcPr>
            <w:tcW w:type="dxa" w:w="1771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NCT06059846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446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483</w:t>
            </w:r>
          </w:p>
        </w:tc>
        <w:tc>
          <w:tcPr>
            <w:tcW w:type="dxa" w:w="2693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Day 17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INTEGRAL-1 FEP/NAC</w:t>
            </w:r>
          </w:p>
        </w:tc>
        <w:tc>
          <w:tcPr>
            <w:tcW w:type="dxa" w:w="1771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NCT05887908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214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105</w:t>
            </w:r>
          </w:p>
        </w:tc>
        <w:tc>
          <w:tcPr>
            <w:tcW w:type="dxa" w:w="2693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 ± 2 days after EOT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INTEGRAL-1 ATM/NAC</w:t>
            </w:r>
          </w:p>
        </w:tc>
        <w:tc>
          <w:tcPr>
            <w:tcW w:type="dxa" w:w="1771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NCT05887908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112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105</w:t>
            </w:r>
          </w:p>
        </w:tc>
        <w:tc>
          <w:tcPr>
            <w:tcW w:type="dxa" w:w="2693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 ± 2 days after EOT</w:t>
            </w:r>
          </w:p>
        </w:tc>
      </w:tr>
    </w:tbl>
    <w:p>
      <w:pPr>
        <w:widowControl/>
        <w:spacing w:before="100" w:after="0" w:line="240" w:lineRule="auto"/>
      </w:pPr>
      <w:r>
        <w:rPr>
          <w:rFonts w:ascii="Times New Roman" w:hAnsi="Times New Roman" w:cs="Times New Roman" w:eastAsia="宋体"/>
          <w:b w:val="0"/>
          <w:i/>
          <w:sz w:val="19"/>
        </w:rPr>
        <w:t>Five independent programs and six contrasts represent 3,026 unique analysis participants. The INTEGRAL-1 control (n = 105) is shared. ZEUS is registered phase 2/3. These are microbiologically defined efficacy denominators, not total enrollment.</w:t>
      </w:r>
    </w:p>
    <w:sectPr w:rsidR="00FC693F" w:rsidRPr="0006063C" w:rsidSect="00034616">
      <w:footerReference w:type="default" r:id="rId9"/>
      <w:pgSz w:w="11906" w:h="16838"/>
      <w:pgMar w:top="864" w:right="864" w:bottom="864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i w:val="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Scientific three-line tables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