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40"/>
      </w:pPr>
      <w:r>
        <w:rPr>
          <w:rFonts w:ascii="Times New Roman" w:hAnsi="Times New Roman" w:cs="Times New Roman" w:eastAsia="宋体"/>
          <w:b/>
          <w:i w:val="0"/>
          <w:sz w:val="22"/>
        </w:rPr>
        <w:t>Table 3. Posted phase 3 composite response effects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left w:val="nil"/>
          <w:bottom w:val="single" w:sz="10" w:color="000000"/>
          <w:right w:val="nil"/>
          <w:insideH w:val="nil"/>
          <w:insideV w:val="nil"/>
        </w:tblBorders>
      </w:tblPr>
      <w:tblGrid>
        <w:gridCol w:w="2232"/>
        <w:gridCol w:w="2232"/>
        <w:gridCol w:w="2232"/>
        <w:gridCol w:w="3024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2"/>
              </w:rPr>
              <w:t>Program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2"/>
              </w:rPr>
              <w:t>Experimental successes/n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2"/>
              </w:rPr>
              <w:t>Control successes/n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/>
                <w:i w:val="0"/>
                <w:sz w:val="22"/>
              </w:rPr>
              <w:t>Crude RD in pp (95% CI)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ASPECT-cUTI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  <w:vertAlign w:val="superscript"/>
              </w:rPr>
              <w:t>†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306/398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275/402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8.48 (2.30 to 14.57)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RECAPTURE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280/393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269/417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6.74 (0.30 to 13.08)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IGNITE2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180/298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202/302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-6.48 (-14.07 to 1.21)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TANGO-I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143/192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128/182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4.15 (-4.88 to 13.14)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EPIC</w:t>
            </w: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  <w:vertAlign w:val="superscript"/>
              </w:rPr>
              <w:t>†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156/191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138/197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11.62 (3.10 to 19.92)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ZEUS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119/184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97/178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10.18 (0.08 to 20.01)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IGNITE3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293/428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302/403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-6.48 (-12.53 to -0.34)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SURE-2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301/444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325/440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-6.07 (-12.00 to -0.08)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ADAPT-PO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264/449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258/419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-2.78 (-9.24 to 3.73)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CERTAIN-1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207/293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83/143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12.61 (3.11 to 22.16)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Zidebactam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250/281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93/136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20.59 (12.23 to 29.40)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INTEGRAL-1 FEP/NAC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176/214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64/105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21.29 (10.83 to 31.87)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INTEGRAL-1 ATM/NAC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81/112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64/105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11.37 (-1.15 to 23.48)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PIVOT-PO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261/446</w:t>
            </w:r>
          </w:p>
        </w:tc>
        <w:tc>
          <w:tcPr>
            <w:tcW w:type="dxa" w:w="2232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291/483</w:t>
            </w:r>
          </w:p>
        </w:tc>
        <w:tc>
          <w:tcPr>
            <w:tcW w:type="dxa" w:w="3024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2"/>
              </w:rPr>
              <w:t>-1.73 (-8.02 to 4.57)</w:t>
            </w:r>
          </w:p>
        </w:tc>
      </w:tr>
    </w:tbl>
    <w:p>
      <w:pPr>
        <w:widowControl/>
        <w:spacing w:before="100" w:after="0" w:line="240" w:lineRule="auto"/>
      </w:pPr>
      <w:r>
        <w:rPr>
          <w:rFonts w:ascii="Times New Roman" w:hAnsi="Times New Roman" w:cs="Times New Roman" w:eastAsia="宋体"/>
          <w:b w:val="0"/>
          <w:i/>
          <w:sz w:val="19"/>
        </w:rPr>
        <w:t xml:space="preserve">Thirteen programs; fourteen randomized contrasts. </w:t>
      </w:r>
      <w:r>
        <w:rPr>
          <w:rFonts w:ascii="Times New Roman" w:hAnsi="Times New Roman" w:cs="Times New Roman" w:eastAsia="宋体"/>
          <w:b w:val="0"/>
          <w:i/>
          <w:sz w:val="19"/>
          <w:vertAlign w:val="superscript"/>
        </w:rPr>
        <w:t>†</w:t>
      </w:r>
      <w:r>
        <w:rPr>
          <w:rFonts w:ascii="Times New Roman" w:hAnsi="Times New Roman" w:cs="Times New Roman" w:eastAsia="宋体"/>
          <w:b w:val="0"/>
          <w:i/>
          <w:sz w:val="19"/>
        </w:rPr>
        <w:t xml:space="preserve"> Uniquely inferred count from the registry denominator and rounded percentage. Every estimate retains its original population and visit. No universal composite meta-analysis or noninferiority reclassification is performed.</w:t>
      </w:r>
    </w:p>
    <w:sectPr w:rsidR="00FC693F" w:rsidRPr="0006063C" w:rsidSect="00034616">
      <w:footerReference w:type="default" r:id="rId9"/>
      <w:pgSz w:w="11906" w:h="16838"/>
      <w:pgMar w:top="864" w:right="864" w:bottom="864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i w:val="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Scientific three-line tables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